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BF6" w:rsidRPr="00C64BF6" w:rsidRDefault="00C64BF6" w:rsidP="00C64BF6">
      <w:pPr>
        <w:pStyle w:val="a6"/>
        <w:spacing w:before="0" w:beforeAutospacing="0" w:after="0" w:afterAutospacing="0" w:line="360" w:lineRule="auto"/>
        <w:ind w:left="480" w:hangingChars="200" w:hanging="480"/>
        <w:rPr>
          <w:rFonts w:cs="Times New Roman" w:hint="eastAsia"/>
          <w:b/>
          <w:kern w:val="2"/>
        </w:rPr>
      </w:pPr>
      <w:r>
        <w:rPr>
          <w:rFonts w:cs="Times New Roman" w:hint="eastAsia"/>
          <w:kern w:val="2"/>
        </w:rPr>
        <w:t>附件一</w:t>
      </w:r>
      <w:r w:rsidRPr="001340AD">
        <w:rPr>
          <w:rFonts w:cs="Times New Roman" w:hint="eastAsia"/>
          <w:kern w:val="2"/>
        </w:rPr>
        <w:t>：</w:t>
      </w:r>
      <w:r>
        <w:rPr>
          <w:rFonts w:cs="Times New Roman" w:hint="eastAsia"/>
          <w:kern w:val="2"/>
        </w:rPr>
        <w:t>谈判案例</w:t>
      </w:r>
    </w:p>
    <w:p w:rsidR="00422B90" w:rsidRDefault="00422B90" w:rsidP="00422B90">
      <w:pPr>
        <w:pStyle w:val="a5"/>
        <w:rPr>
          <w:rFonts w:hint="eastAsia"/>
          <w:sz w:val="48"/>
          <w:szCs w:val="48"/>
        </w:rPr>
      </w:pPr>
      <w:r w:rsidRPr="00422B90">
        <w:rPr>
          <w:rFonts w:hint="eastAsia"/>
          <w:sz w:val="48"/>
          <w:szCs w:val="48"/>
        </w:rPr>
        <w:t>慈溪</w:t>
      </w:r>
      <w:r w:rsidRPr="00422B90">
        <w:rPr>
          <w:rFonts w:hint="eastAsia"/>
          <w:sz w:val="48"/>
          <w:szCs w:val="48"/>
        </w:rPr>
        <w:t>K</w:t>
      </w:r>
      <w:r w:rsidRPr="00422B90">
        <w:rPr>
          <w:rFonts w:hint="eastAsia"/>
          <w:sz w:val="48"/>
          <w:szCs w:val="48"/>
        </w:rPr>
        <w:t>电器厂集体谈判材料</w:t>
      </w:r>
    </w:p>
    <w:p w:rsidR="00C64BF6" w:rsidRPr="00C64BF6" w:rsidRDefault="00C64BF6" w:rsidP="00C64BF6"/>
    <w:p w:rsidR="002D65E0" w:rsidRDefault="004D1EF8" w:rsidP="00C64BF6">
      <w:pPr>
        <w:jc w:val="center"/>
        <w:rPr>
          <w:b/>
          <w:bCs/>
          <w:sz w:val="36"/>
          <w:szCs w:val="36"/>
        </w:rPr>
      </w:pPr>
      <w:r w:rsidRPr="00C64BF6">
        <w:rPr>
          <w:rFonts w:cs="宋体" w:hint="eastAsia"/>
          <w:b/>
          <w:bCs/>
          <w:sz w:val="28"/>
          <w:szCs w:val="28"/>
        </w:rPr>
        <w:t>谈判方案撰写要求</w:t>
      </w:r>
      <w:r w:rsidR="00C64BF6">
        <w:rPr>
          <w:rFonts w:cs="宋体" w:hint="eastAsia"/>
          <w:b/>
          <w:bCs/>
          <w:sz w:val="28"/>
          <w:szCs w:val="28"/>
        </w:rPr>
        <w:t>与注意事项</w:t>
      </w:r>
      <w:r>
        <w:rPr>
          <w:rFonts w:cs="宋体" w:hint="eastAsia"/>
          <w:b/>
          <w:bCs/>
          <w:sz w:val="36"/>
          <w:szCs w:val="36"/>
        </w:rPr>
        <w:t>：</w:t>
      </w:r>
    </w:p>
    <w:p w:rsidR="002D65E0" w:rsidRPr="00C64BF6" w:rsidRDefault="00C64BF6" w:rsidP="00C64BF6">
      <w:pPr>
        <w:spacing w:line="400" w:lineRule="exact"/>
        <w:ind w:firstLineChars="200" w:firstLine="480"/>
        <w:rPr>
          <w:rFonts w:cs="宋体"/>
          <w:sz w:val="24"/>
          <w:szCs w:val="24"/>
        </w:rPr>
      </w:pPr>
      <w:r>
        <w:rPr>
          <w:rFonts w:cs="宋体" w:hint="eastAsia"/>
          <w:sz w:val="24"/>
          <w:szCs w:val="24"/>
        </w:rPr>
        <w:t>1</w:t>
      </w:r>
      <w:r>
        <w:rPr>
          <w:rFonts w:cs="宋体" w:hint="eastAsia"/>
          <w:sz w:val="24"/>
          <w:szCs w:val="24"/>
        </w:rPr>
        <w:t>、</w:t>
      </w:r>
      <w:r w:rsidR="004D1EF8" w:rsidRPr="00C64BF6">
        <w:rPr>
          <w:rFonts w:cs="宋体" w:hint="eastAsia"/>
          <w:sz w:val="24"/>
          <w:szCs w:val="24"/>
        </w:rPr>
        <w:t>参赛者选择劳方或资方角色依据比赛材料提交谈判方案，要求就降薪和裁员议题给出优先考虑顺序（如优先考虑降薪，其次裁员），列出尽可能详细的降薪方案和裁员方案底线以及相关依据。</w:t>
      </w:r>
    </w:p>
    <w:p w:rsidR="00C64BF6" w:rsidRDefault="00C64BF6" w:rsidP="00C64BF6">
      <w:pPr>
        <w:spacing w:line="400" w:lineRule="exact"/>
        <w:ind w:firstLineChars="200" w:firstLine="480"/>
        <w:rPr>
          <w:rFonts w:cs="宋体" w:hint="eastAsia"/>
          <w:sz w:val="24"/>
          <w:szCs w:val="24"/>
        </w:rPr>
      </w:pPr>
      <w:r>
        <w:rPr>
          <w:rFonts w:cs="宋体" w:hint="eastAsia"/>
          <w:sz w:val="24"/>
          <w:szCs w:val="24"/>
        </w:rPr>
        <w:t>2</w:t>
      </w:r>
      <w:r>
        <w:rPr>
          <w:rFonts w:cs="宋体" w:hint="eastAsia"/>
          <w:sz w:val="24"/>
          <w:szCs w:val="24"/>
        </w:rPr>
        <w:t>、</w:t>
      </w:r>
      <w:r w:rsidR="004D1EF8" w:rsidRPr="00C64BF6">
        <w:rPr>
          <w:rFonts w:cs="宋体" w:hint="eastAsia"/>
          <w:sz w:val="24"/>
          <w:szCs w:val="24"/>
        </w:rPr>
        <w:t>工人和管理方均试</w:t>
      </w:r>
      <w:r>
        <w:rPr>
          <w:rFonts w:cs="宋体" w:hint="eastAsia"/>
          <w:sz w:val="24"/>
          <w:szCs w:val="24"/>
        </w:rPr>
        <w:t>图达成协议而不需要求助于停工或闭厂，但是需要争取各自最大的利益</w:t>
      </w:r>
    </w:p>
    <w:p w:rsidR="002D65E0" w:rsidRPr="00C64BF6" w:rsidRDefault="00C64BF6" w:rsidP="00C64BF6">
      <w:pPr>
        <w:spacing w:line="400" w:lineRule="exact"/>
        <w:ind w:firstLineChars="200" w:firstLine="480"/>
        <w:rPr>
          <w:rFonts w:cs="宋体"/>
          <w:sz w:val="24"/>
          <w:szCs w:val="24"/>
        </w:rPr>
      </w:pPr>
      <w:r>
        <w:rPr>
          <w:rFonts w:cs="宋体" w:hint="eastAsia"/>
          <w:sz w:val="24"/>
          <w:szCs w:val="24"/>
        </w:rPr>
        <w:t>3</w:t>
      </w:r>
      <w:r>
        <w:rPr>
          <w:rFonts w:cs="宋体" w:hint="eastAsia"/>
          <w:sz w:val="24"/>
          <w:szCs w:val="24"/>
        </w:rPr>
        <w:t>、模拟谈判会假定劳资双方均希望达成双边满意的协议，这是因为，一方面</w:t>
      </w:r>
      <w:r w:rsidR="004D1EF8">
        <w:rPr>
          <w:rFonts w:cs="宋体" w:hint="eastAsia"/>
          <w:sz w:val="24"/>
          <w:szCs w:val="24"/>
        </w:rPr>
        <w:t>工会及其成员会尽可能地避免工会受损，但是在停工或</w:t>
      </w:r>
      <w:proofErr w:type="gramStart"/>
      <w:r w:rsidR="004D1EF8">
        <w:rPr>
          <w:rFonts w:cs="宋体" w:hint="eastAsia"/>
          <w:sz w:val="24"/>
          <w:szCs w:val="24"/>
        </w:rPr>
        <w:t>闭厂行动</w:t>
      </w:r>
      <w:proofErr w:type="gramEnd"/>
      <w:r w:rsidR="004D1EF8">
        <w:rPr>
          <w:rFonts w:cs="宋体" w:hint="eastAsia"/>
          <w:sz w:val="24"/>
          <w:szCs w:val="24"/>
        </w:rPr>
        <w:t>发生时，都有可能遭受损失；</w:t>
      </w:r>
      <w:r>
        <w:rPr>
          <w:rFonts w:cs="宋体" w:hint="eastAsia"/>
          <w:sz w:val="24"/>
          <w:szCs w:val="24"/>
        </w:rPr>
        <w:t>另一方面</w:t>
      </w:r>
      <w:r w:rsidR="004D1EF8">
        <w:rPr>
          <w:rFonts w:cs="宋体" w:hint="eastAsia"/>
          <w:sz w:val="24"/>
          <w:szCs w:val="24"/>
        </w:rPr>
        <w:t>管理方也清楚地认识这一基本事实，持续的停工</w:t>
      </w:r>
      <w:proofErr w:type="gramStart"/>
      <w:r w:rsidR="004D1EF8">
        <w:rPr>
          <w:rFonts w:cs="宋体" w:hint="eastAsia"/>
          <w:sz w:val="24"/>
          <w:szCs w:val="24"/>
        </w:rPr>
        <w:t>或闭厂可能</w:t>
      </w:r>
      <w:proofErr w:type="gramEnd"/>
      <w:r w:rsidR="004D1EF8">
        <w:rPr>
          <w:rFonts w:cs="宋体" w:hint="eastAsia"/>
          <w:sz w:val="24"/>
          <w:szCs w:val="24"/>
        </w:rPr>
        <w:t>会严重地影响公司在一个高度竞争的市场里提高竞争力的机会。</w:t>
      </w:r>
    </w:p>
    <w:p w:rsidR="002D65E0" w:rsidRDefault="002D65E0" w:rsidP="00422B90">
      <w:pPr>
        <w:spacing w:line="400" w:lineRule="exact"/>
        <w:ind w:firstLineChars="200" w:firstLine="480"/>
        <w:rPr>
          <w:sz w:val="24"/>
          <w:szCs w:val="24"/>
        </w:rPr>
      </w:pPr>
    </w:p>
    <w:p w:rsidR="00C64BF6" w:rsidRPr="00C64BF6" w:rsidRDefault="00C64BF6" w:rsidP="00C64BF6">
      <w:pPr>
        <w:spacing w:line="400" w:lineRule="exact"/>
        <w:jc w:val="center"/>
        <w:rPr>
          <w:b/>
          <w:bCs/>
          <w:sz w:val="32"/>
          <w:szCs w:val="32"/>
        </w:rPr>
      </w:pPr>
      <w:r>
        <w:rPr>
          <w:rFonts w:cs="宋体" w:hint="eastAsia"/>
          <w:b/>
          <w:bCs/>
          <w:sz w:val="32"/>
          <w:szCs w:val="32"/>
        </w:rPr>
        <w:t>一</w:t>
      </w:r>
      <w:r>
        <w:rPr>
          <w:rFonts w:cs="宋体" w:hint="eastAsia"/>
          <w:b/>
          <w:bCs/>
          <w:sz w:val="32"/>
          <w:szCs w:val="32"/>
        </w:rPr>
        <w:t>、</w:t>
      </w:r>
      <w:r w:rsidRPr="00C64BF6">
        <w:rPr>
          <w:rFonts w:cs="宋体" w:hint="eastAsia"/>
          <w:b/>
          <w:bCs/>
          <w:sz w:val="32"/>
          <w:szCs w:val="32"/>
        </w:rPr>
        <w:t>慈溪市电</w:t>
      </w:r>
      <w:proofErr w:type="gramStart"/>
      <w:r w:rsidRPr="00C64BF6">
        <w:rPr>
          <w:rFonts w:cs="宋体" w:hint="eastAsia"/>
          <w:b/>
          <w:bCs/>
          <w:sz w:val="32"/>
          <w:szCs w:val="32"/>
        </w:rPr>
        <w:t>器行业</w:t>
      </w:r>
      <w:proofErr w:type="gramEnd"/>
      <w:r w:rsidRPr="00C64BF6">
        <w:rPr>
          <w:rFonts w:cs="宋体" w:hint="eastAsia"/>
          <w:b/>
          <w:bCs/>
          <w:sz w:val="32"/>
          <w:szCs w:val="32"/>
        </w:rPr>
        <w:t>的状况</w:t>
      </w:r>
    </w:p>
    <w:p w:rsidR="00C64BF6" w:rsidRPr="00C64BF6" w:rsidRDefault="00C64BF6" w:rsidP="00C64BF6">
      <w:pPr>
        <w:spacing w:line="400" w:lineRule="exact"/>
        <w:ind w:firstLineChars="200" w:firstLine="480"/>
        <w:rPr>
          <w:rFonts w:cs="宋体"/>
          <w:sz w:val="24"/>
          <w:szCs w:val="24"/>
        </w:rPr>
      </w:pPr>
      <w:r>
        <w:rPr>
          <w:rFonts w:cs="宋体" w:hint="eastAsia"/>
          <w:sz w:val="24"/>
          <w:szCs w:val="24"/>
        </w:rPr>
        <w:t>慈溪市已成为中国第三大家电制造基地，一方面发挥了家电产业群的优势，另一方面也导致市场竞争激烈。目前，拥有整机企业近</w:t>
      </w:r>
      <w:r>
        <w:rPr>
          <w:sz w:val="24"/>
          <w:szCs w:val="24"/>
        </w:rPr>
        <w:t>2000</w:t>
      </w:r>
      <w:r>
        <w:rPr>
          <w:rFonts w:cs="宋体" w:hint="eastAsia"/>
          <w:sz w:val="24"/>
          <w:szCs w:val="24"/>
        </w:rPr>
        <w:t>家、配套企业近万家，</w:t>
      </w:r>
      <w:r>
        <w:rPr>
          <w:sz w:val="24"/>
          <w:szCs w:val="24"/>
        </w:rPr>
        <w:t>09</w:t>
      </w:r>
      <w:r>
        <w:rPr>
          <w:rFonts w:cs="宋体" w:hint="eastAsia"/>
          <w:sz w:val="24"/>
          <w:szCs w:val="24"/>
        </w:rPr>
        <w:t>年总产值达到</w:t>
      </w:r>
      <w:r>
        <w:rPr>
          <w:sz w:val="24"/>
          <w:szCs w:val="24"/>
        </w:rPr>
        <w:t>600</w:t>
      </w:r>
      <w:r>
        <w:rPr>
          <w:rFonts w:cs="宋体" w:hint="eastAsia"/>
          <w:sz w:val="24"/>
          <w:szCs w:val="24"/>
        </w:rPr>
        <w:t>多亿元。慈溪家电市场的核心竞争力在于价格成本优势，包括专业协作配套生产和劳动力成本两方面。但另一方面，缺少关键核心技术，品牌效应刚刚显现，技术工人短缺等等让慈溪的各家企业在竞争中也面临随时被取代的风险。</w:t>
      </w:r>
      <w:r w:rsidRPr="00C64BF6">
        <w:rPr>
          <w:rFonts w:cs="宋体" w:hint="eastAsia"/>
          <w:sz w:val="24"/>
          <w:szCs w:val="24"/>
        </w:rPr>
        <w:t>各个公司都希望可以对人员构成进行调整，增加技术工人和研发人员，适当地减少生产工人和销售人员。</w:t>
      </w:r>
    </w:p>
    <w:p w:rsidR="00C64BF6" w:rsidRPr="00C64BF6" w:rsidRDefault="00C64BF6">
      <w:pPr>
        <w:spacing w:line="400" w:lineRule="exact"/>
        <w:jc w:val="center"/>
        <w:rPr>
          <w:rFonts w:cs="宋体" w:hint="eastAsia"/>
          <w:b/>
          <w:bCs/>
          <w:sz w:val="32"/>
          <w:szCs w:val="32"/>
        </w:rPr>
      </w:pPr>
    </w:p>
    <w:p w:rsidR="002D65E0" w:rsidRPr="00C64BF6" w:rsidRDefault="00C64BF6">
      <w:pPr>
        <w:spacing w:line="400" w:lineRule="exact"/>
        <w:jc w:val="center"/>
        <w:rPr>
          <w:b/>
          <w:bCs/>
          <w:sz w:val="32"/>
          <w:szCs w:val="32"/>
        </w:rPr>
      </w:pPr>
      <w:r>
        <w:rPr>
          <w:rFonts w:cs="宋体" w:hint="eastAsia"/>
          <w:b/>
          <w:bCs/>
          <w:sz w:val="32"/>
          <w:szCs w:val="32"/>
        </w:rPr>
        <w:t>二、</w:t>
      </w:r>
      <w:r w:rsidRPr="00C64BF6">
        <w:rPr>
          <w:rFonts w:cs="宋体" w:hint="eastAsia"/>
          <w:b/>
          <w:bCs/>
          <w:sz w:val="32"/>
          <w:szCs w:val="32"/>
        </w:rPr>
        <w:t>K</w:t>
      </w:r>
      <w:r>
        <w:rPr>
          <w:rFonts w:cs="宋体" w:hint="eastAsia"/>
          <w:b/>
          <w:bCs/>
          <w:sz w:val="32"/>
          <w:szCs w:val="32"/>
        </w:rPr>
        <w:t>公司营业</w:t>
      </w:r>
      <w:r w:rsidR="004D1EF8" w:rsidRPr="00C64BF6">
        <w:rPr>
          <w:rFonts w:cs="宋体" w:hint="eastAsia"/>
          <w:b/>
          <w:bCs/>
          <w:sz w:val="32"/>
          <w:szCs w:val="32"/>
        </w:rPr>
        <w:t>情况介绍</w:t>
      </w:r>
    </w:p>
    <w:p w:rsidR="002D65E0" w:rsidRDefault="004D1EF8" w:rsidP="00422B90">
      <w:pPr>
        <w:spacing w:line="400" w:lineRule="exact"/>
        <w:ind w:firstLineChars="200" w:firstLine="480"/>
        <w:rPr>
          <w:sz w:val="24"/>
          <w:szCs w:val="24"/>
        </w:rPr>
      </w:pPr>
      <w:r>
        <w:rPr>
          <w:rFonts w:cs="宋体" w:hint="eastAsia"/>
          <w:sz w:val="24"/>
          <w:szCs w:val="24"/>
        </w:rPr>
        <w:t>慈溪</w:t>
      </w:r>
      <w:r>
        <w:rPr>
          <w:sz w:val="24"/>
          <w:szCs w:val="24"/>
        </w:rPr>
        <w:t>K</w:t>
      </w:r>
      <w:r>
        <w:rPr>
          <w:rFonts w:cs="宋体" w:hint="eastAsia"/>
          <w:sz w:val="24"/>
          <w:szCs w:val="24"/>
        </w:rPr>
        <w:t>电器厂</w:t>
      </w:r>
      <w:r>
        <w:rPr>
          <w:sz w:val="24"/>
          <w:szCs w:val="24"/>
        </w:rPr>
        <w:t>2004</w:t>
      </w:r>
      <w:r>
        <w:rPr>
          <w:rFonts w:cs="宋体" w:hint="eastAsia"/>
          <w:sz w:val="24"/>
          <w:szCs w:val="24"/>
        </w:rPr>
        <w:t>年成立于浙江省慈溪市，是一家专业生产</w:t>
      </w:r>
      <w:r>
        <w:rPr>
          <w:sz w:val="24"/>
          <w:szCs w:val="24"/>
        </w:rPr>
        <w:t>24</w:t>
      </w:r>
      <w:r>
        <w:rPr>
          <w:rFonts w:cs="宋体" w:hint="eastAsia"/>
          <w:sz w:val="24"/>
          <w:szCs w:val="24"/>
        </w:rPr>
        <w:t>小时可编程定时器的高技术企业，拥有国内、美国和欧洲的近二十项专利</w:t>
      </w:r>
      <w:r>
        <w:rPr>
          <w:sz w:val="24"/>
          <w:szCs w:val="24"/>
        </w:rPr>
        <w:t>,</w:t>
      </w:r>
      <w:r>
        <w:rPr>
          <w:rFonts w:cs="宋体" w:hint="eastAsia"/>
          <w:sz w:val="24"/>
          <w:szCs w:val="24"/>
        </w:rPr>
        <w:t>产品主要用于取暖器、多用插座、灯具、广告牌等电器的自动控制，目前主要产品已经有</w:t>
      </w:r>
      <w:r>
        <w:rPr>
          <w:sz w:val="24"/>
          <w:szCs w:val="24"/>
        </w:rPr>
        <w:t>UL</w:t>
      </w:r>
      <w:r>
        <w:rPr>
          <w:rFonts w:cs="宋体" w:hint="eastAsia"/>
          <w:sz w:val="24"/>
          <w:szCs w:val="24"/>
        </w:rPr>
        <w:t>、</w:t>
      </w:r>
      <w:r>
        <w:rPr>
          <w:sz w:val="24"/>
          <w:szCs w:val="24"/>
        </w:rPr>
        <w:t>GS/TUV</w:t>
      </w:r>
      <w:r>
        <w:rPr>
          <w:rFonts w:cs="宋体" w:hint="eastAsia"/>
          <w:sz w:val="24"/>
          <w:szCs w:val="24"/>
        </w:rPr>
        <w:t>、</w:t>
      </w:r>
      <w:r>
        <w:rPr>
          <w:sz w:val="24"/>
          <w:szCs w:val="24"/>
        </w:rPr>
        <w:t>KEMA</w:t>
      </w:r>
      <w:r>
        <w:rPr>
          <w:rFonts w:cs="宋体" w:hint="eastAsia"/>
          <w:sz w:val="24"/>
          <w:szCs w:val="24"/>
        </w:rPr>
        <w:t>、</w:t>
      </w:r>
      <w:r>
        <w:rPr>
          <w:sz w:val="24"/>
          <w:szCs w:val="24"/>
        </w:rPr>
        <w:t>BS</w:t>
      </w:r>
      <w:r>
        <w:rPr>
          <w:rFonts w:cs="宋体" w:hint="eastAsia"/>
          <w:sz w:val="24"/>
          <w:szCs w:val="24"/>
        </w:rPr>
        <w:t>、</w:t>
      </w:r>
      <w:r>
        <w:rPr>
          <w:sz w:val="24"/>
          <w:szCs w:val="24"/>
        </w:rPr>
        <w:t>SAA</w:t>
      </w:r>
      <w:r>
        <w:rPr>
          <w:rFonts w:cs="宋体" w:hint="eastAsia"/>
          <w:sz w:val="24"/>
          <w:szCs w:val="24"/>
        </w:rPr>
        <w:t>等众多认证，主要产品出口到欧美等地区。但是近些年在金融危机的冲击下，原材料价格上涨，劳动力成本上升等问题都让公司的销售额出现了下滑，进而影响到生产线。</w:t>
      </w:r>
    </w:p>
    <w:p w:rsidR="002D65E0" w:rsidRDefault="004D1EF8" w:rsidP="00422B90">
      <w:pPr>
        <w:spacing w:line="400" w:lineRule="exact"/>
        <w:ind w:firstLineChars="200" w:firstLine="480"/>
        <w:rPr>
          <w:sz w:val="24"/>
          <w:szCs w:val="24"/>
        </w:rPr>
      </w:pPr>
      <w:r>
        <w:rPr>
          <w:sz w:val="24"/>
          <w:szCs w:val="24"/>
        </w:rPr>
        <w:t>2014</w:t>
      </w:r>
      <w:r>
        <w:rPr>
          <w:rFonts w:cs="宋体" w:hint="eastAsia"/>
          <w:sz w:val="24"/>
          <w:szCs w:val="24"/>
        </w:rPr>
        <w:t>年公司年出口额在人民币</w:t>
      </w:r>
      <w:r>
        <w:rPr>
          <w:sz w:val="24"/>
          <w:szCs w:val="24"/>
        </w:rPr>
        <w:t xml:space="preserve"> 300 </w:t>
      </w:r>
      <w:r>
        <w:rPr>
          <w:rFonts w:cs="宋体" w:hint="eastAsia"/>
          <w:sz w:val="24"/>
          <w:szCs w:val="24"/>
        </w:rPr>
        <w:t>万元</w:t>
      </w:r>
      <w:r>
        <w:rPr>
          <w:sz w:val="24"/>
          <w:szCs w:val="24"/>
        </w:rPr>
        <w:t>/</w:t>
      </w:r>
      <w:r>
        <w:rPr>
          <w:rFonts w:cs="宋体" w:hint="eastAsia"/>
          <w:sz w:val="24"/>
          <w:szCs w:val="24"/>
        </w:rPr>
        <w:t>年－</w:t>
      </w:r>
      <w:r>
        <w:rPr>
          <w:sz w:val="24"/>
          <w:szCs w:val="24"/>
        </w:rPr>
        <w:t xml:space="preserve">500 </w:t>
      </w:r>
      <w:r>
        <w:rPr>
          <w:rFonts w:cs="宋体" w:hint="eastAsia"/>
          <w:sz w:val="24"/>
          <w:szCs w:val="24"/>
        </w:rPr>
        <w:t>万元</w:t>
      </w:r>
      <w:r>
        <w:rPr>
          <w:sz w:val="24"/>
          <w:szCs w:val="24"/>
        </w:rPr>
        <w:t>/</w:t>
      </w:r>
      <w:r>
        <w:rPr>
          <w:rFonts w:cs="宋体" w:hint="eastAsia"/>
          <w:sz w:val="24"/>
          <w:szCs w:val="24"/>
        </w:rPr>
        <w:t>年，年营业额在人民币</w:t>
      </w:r>
      <w:r>
        <w:rPr>
          <w:sz w:val="24"/>
          <w:szCs w:val="24"/>
        </w:rPr>
        <w:t xml:space="preserve"> 1000 </w:t>
      </w:r>
      <w:r>
        <w:rPr>
          <w:rFonts w:cs="宋体" w:hint="eastAsia"/>
          <w:sz w:val="24"/>
          <w:szCs w:val="24"/>
        </w:rPr>
        <w:t>万元</w:t>
      </w:r>
      <w:r>
        <w:rPr>
          <w:sz w:val="24"/>
          <w:szCs w:val="24"/>
        </w:rPr>
        <w:t>/</w:t>
      </w:r>
      <w:r>
        <w:rPr>
          <w:rFonts w:cs="宋体" w:hint="eastAsia"/>
          <w:sz w:val="24"/>
          <w:szCs w:val="24"/>
        </w:rPr>
        <w:t>年－</w:t>
      </w:r>
      <w:r>
        <w:rPr>
          <w:sz w:val="24"/>
          <w:szCs w:val="24"/>
        </w:rPr>
        <w:t xml:space="preserve"> 2000 </w:t>
      </w:r>
      <w:r>
        <w:rPr>
          <w:rFonts w:cs="宋体" w:hint="eastAsia"/>
          <w:sz w:val="24"/>
          <w:szCs w:val="24"/>
        </w:rPr>
        <w:t>万元</w:t>
      </w:r>
      <w:r>
        <w:rPr>
          <w:sz w:val="24"/>
          <w:szCs w:val="24"/>
        </w:rPr>
        <w:t>/</w:t>
      </w:r>
      <w:r>
        <w:rPr>
          <w:rFonts w:cs="宋体" w:hint="eastAsia"/>
          <w:sz w:val="24"/>
          <w:szCs w:val="24"/>
        </w:rPr>
        <w:t>年。销售额（包括出口和国内销售）在</w:t>
      </w:r>
      <w:r>
        <w:rPr>
          <w:sz w:val="24"/>
          <w:szCs w:val="24"/>
        </w:rPr>
        <w:t>2009</w:t>
      </w:r>
      <w:r>
        <w:rPr>
          <w:rFonts w:cs="宋体" w:hint="eastAsia"/>
          <w:sz w:val="24"/>
          <w:szCs w:val="24"/>
        </w:rPr>
        <w:t>－</w:t>
      </w:r>
      <w:r>
        <w:rPr>
          <w:sz w:val="24"/>
          <w:szCs w:val="24"/>
        </w:rPr>
        <w:t>2011</w:t>
      </w:r>
      <w:r>
        <w:rPr>
          <w:rFonts w:cs="宋体" w:hint="eastAsia"/>
          <w:sz w:val="24"/>
          <w:szCs w:val="24"/>
        </w:rPr>
        <w:t>年持续下滑，在</w:t>
      </w:r>
      <w:r>
        <w:rPr>
          <w:sz w:val="24"/>
          <w:szCs w:val="24"/>
        </w:rPr>
        <w:t>2012</w:t>
      </w:r>
      <w:r>
        <w:rPr>
          <w:rFonts w:cs="宋体" w:hint="eastAsia"/>
          <w:sz w:val="24"/>
          <w:szCs w:val="24"/>
        </w:rPr>
        <w:t>－</w:t>
      </w:r>
      <w:r>
        <w:rPr>
          <w:sz w:val="24"/>
          <w:szCs w:val="24"/>
        </w:rPr>
        <w:t>2014</w:t>
      </w:r>
      <w:r>
        <w:rPr>
          <w:rFonts w:cs="宋体" w:hint="eastAsia"/>
          <w:sz w:val="24"/>
          <w:szCs w:val="24"/>
        </w:rPr>
        <w:t>年有所增长。随着订单的减少，公司的生产</w:t>
      </w:r>
      <w:r>
        <w:rPr>
          <w:rFonts w:cs="宋体" w:hint="eastAsia"/>
          <w:sz w:val="24"/>
          <w:szCs w:val="24"/>
        </w:rPr>
        <w:lastRenderedPageBreak/>
        <w:t>工人和销售人员偶有解雇。利润减少的情形持续了</w:t>
      </w:r>
      <w:r>
        <w:rPr>
          <w:sz w:val="24"/>
          <w:szCs w:val="24"/>
        </w:rPr>
        <w:t>4</w:t>
      </w:r>
      <w:r>
        <w:rPr>
          <w:rFonts w:cs="宋体" w:hint="eastAsia"/>
          <w:sz w:val="24"/>
          <w:szCs w:val="24"/>
        </w:rPr>
        <w:t>年，过去</w:t>
      </w:r>
      <w:r>
        <w:rPr>
          <w:sz w:val="24"/>
          <w:szCs w:val="24"/>
        </w:rPr>
        <w:t>2</w:t>
      </w:r>
      <w:r>
        <w:rPr>
          <w:rFonts w:cs="宋体" w:hint="eastAsia"/>
          <w:sz w:val="24"/>
          <w:szCs w:val="24"/>
        </w:rPr>
        <w:t>年有所好转。</w:t>
      </w:r>
    </w:p>
    <w:p w:rsidR="002D65E0" w:rsidRDefault="002D65E0" w:rsidP="00C64BF6">
      <w:pPr>
        <w:spacing w:line="400" w:lineRule="exact"/>
        <w:rPr>
          <w:sz w:val="24"/>
          <w:szCs w:val="24"/>
        </w:rPr>
      </w:pPr>
    </w:p>
    <w:p w:rsidR="002D65E0" w:rsidRPr="00C64BF6" w:rsidRDefault="00C64BF6">
      <w:pPr>
        <w:spacing w:line="400" w:lineRule="exact"/>
        <w:jc w:val="center"/>
        <w:rPr>
          <w:rFonts w:cs="宋体"/>
          <w:b/>
          <w:bCs/>
          <w:sz w:val="32"/>
          <w:szCs w:val="32"/>
        </w:rPr>
      </w:pPr>
      <w:r>
        <w:rPr>
          <w:rFonts w:cs="宋体" w:hint="eastAsia"/>
          <w:b/>
          <w:bCs/>
          <w:sz w:val="32"/>
          <w:szCs w:val="32"/>
        </w:rPr>
        <w:t>三、</w:t>
      </w:r>
      <w:r>
        <w:rPr>
          <w:rFonts w:cs="宋体" w:hint="eastAsia"/>
          <w:b/>
          <w:bCs/>
          <w:sz w:val="32"/>
          <w:szCs w:val="32"/>
        </w:rPr>
        <w:t>K</w:t>
      </w:r>
      <w:r>
        <w:rPr>
          <w:rFonts w:cs="宋体" w:hint="eastAsia"/>
          <w:b/>
          <w:bCs/>
          <w:sz w:val="32"/>
          <w:szCs w:val="32"/>
        </w:rPr>
        <w:t>公司</w:t>
      </w:r>
      <w:r w:rsidR="004D1EF8" w:rsidRPr="00C64BF6">
        <w:rPr>
          <w:rFonts w:cs="宋体" w:hint="eastAsia"/>
          <w:b/>
          <w:bCs/>
          <w:sz w:val="32"/>
          <w:szCs w:val="32"/>
        </w:rPr>
        <w:t>人员情况</w:t>
      </w:r>
    </w:p>
    <w:p w:rsidR="002D65E0" w:rsidRPr="00C64BF6" w:rsidRDefault="004D1EF8" w:rsidP="00422B90">
      <w:pPr>
        <w:spacing w:line="400" w:lineRule="exact"/>
        <w:ind w:firstLineChars="200" w:firstLine="480"/>
        <w:rPr>
          <w:rFonts w:cs="宋体"/>
          <w:sz w:val="24"/>
          <w:szCs w:val="24"/>
        </w:rPr>
      </w:pPr>
      <w:r>
        <w:rPr>
          <w:sz w:val="24"/>
          <w:szCs w:val="24"/>
        </w:rPr>
        <w:t>K</w:t>
      </w:r>
      <w:r>
        <w:rPr>
          <w:rFonts w:cs="宋体" w:hint="eastAsia"/>
          <w:sz w:val="24"/>
          <w:szCs w:val="24"/>
        </w:rPr>
        <w:t>公司总共雇佣了</w:t>
      </w:r>
      <w:r>
        <w:rPr>
          <w:sz w:val="24"/>
          <w:szCs w:val="24"/>
        </w:rPr>
        <w:t>500</w:t>
      </w:r>
      <w:r>
        <w:rPr>
          <w:rFonts w:cs="宋体" w:hint="eastAsia"/>
          <w:sz w:val="24"/>
          <w:szCs w:val="24"/>
        </w:rPr>
        <w:t>人，包括生产和维修人员、销售人员、质量控制和研究人员、管理人员。</w:t>
      </w:r>
      <w:r w:rsidRPr="00C64BF6">
        <w:rPr>
          <w:rFonts w:cs="宋体" w:hint="eastAsia"/>
          <w:sz w:val="24"/>
          <w:szCs w:val="24"/>
        </w:rPr>
        <w:t>此次谈判涉及</w:t>
      </w:r>
      <w:r w:rsidRPr="00C64BF6">
        <w:rPr>
          <w:rFonts w:cs="宋体"/>
          <w:sz w:val="24"/>
          <w:szCs w:val="24"/>
        </w:rPr>
        <w:t>270</w:t>
      </w:r>
      <w:r w:rsidRPr="00C64BF6">
        <w:rPr>
          <w:rFonts w:cs="宋体" w:hint="eastAsia"/>
          <w:sz w:val="24"/>
          <w:szCs w:val="24"/>
        </w:rPr>
        <w:t>名生产工人和销售人员。他们的平均年龄是</w:t>
      </w:r>
      <w:r w:rsidRPr="00C64BF6">
        <w:rPr>
          <w:rFonts w:cs="宋体"/>
          <w:sz w:val="24"/>
          <w:szCs w:val="24"/>
        </w:rPr>
        <w:t>31</w:t>
      </w:r>
      <w:r w:rsidRPr="00C64BF6">
        <w:rPr>
          <w:rFonts w:cs="宋体" w:hint="eastAsia"/>
          <w:sz w:val="24"/>
          <w:szCs w:val="24"/>
        </w:rPr>
        <w:t>岁，在公司的任职时间平均为</w:t>
      </w:r>
      <w:r w:rsidRPr="00C64BF6">
        <w:rPr>
          <w:rFonts w:cs="宋体"/>
          <w:sz w:val="24"/>
          <w:szCs w:val="24"/>
        </w:rPr>
        <w:t>4</w:t>
      </w:r>
      <w:r w:rsidRPr="00C64BF6">
        <w:rPr>
          <w:rFonts w:cs="宋体" w:hint="eastAsia"/>
          <w:sz w:val="24"/>
          <w:szCs w:val="24"/>
        </w:rPr>
        <w:t>年。女性占劳动力的</w:t>
      </w:r>
      <w:r w:rsidRPr="00C64BF6">
        <w:rPr>
          <w:rFonts w:cs="宋体"/>
          <w:sz w:val="24"/>
          <w:szCs w:val="24"/>
        </w:rPr>
        <w:t>40%</w:t>
      </w:r>
      <w:r w:rsidRPr="00C64BF6">
        <w:rPr>
          <w:rFonts w:cs="宋体" w:hint="eastAsia"/>
          <w:sz w:val="24"/>
          <w:szCs w:val="24"/>
        </w:rPr>
        <w:t>。</w:t>
      </w:r>
    </w:p>
    <w:p w:rsidR="002D65E0" w:rsidRPr="00C64BF6" w:rsidRDefault="004D1EF8" w:rsidP="00422B90">
      <w:pPr>
        <w:spacing w:line="400" w:lineRule="exact"/>
        <w:ind w:firstLineChars="200" w:firstLine="480"/>
        <w:rPr>
          <w:rFonts w:cs="宋体"/>
          <w:sz w:val="24"/>
          <w:szCs w:val="24"/>
        </w:rPr>
      </w:pPr>
      <w:r>
        <w:rPr>
          <w:rFonts w:cs="宋体" w:hint="eastAsia"/>
          <w:sz w:val="24"/>
          <w:szCs w:val="24"/>
        </w:rPr>
        <w:t>由于公司之前往往采取“模仿生产”，即把别的同类产品买来，稍加改装，就进行批量生产、销售，造成产品的同质化，最终使企业缺乏创新能力。因此影响了公司在达到一定生产规模之后，难以再上升一个新的高度。因此企业想要通过雇佣更多的技术研发人员和引进新机械来改善现在的局面，另外面临出口市场衰弱和原产品、劳动力成本上升，</w:t>
      </w:r>
      <w:r w:rsidRPr="00C64BF6">
        <w:rPr>
          <w:rFonts w:cs="宋体" w:hint="eastAsia"/>
          <w:sz w:val="24"/>
          <w:szCs w:val="24"/>
        </w:rPr>
        <w:t>也想削减销售人员和生产工人的数量或者通过减薪来平衡成本。</w:t>
      </w:r>
    </w:p>
    <w:p w:rsidR="002D65E0" w:rsidRDefault="002D65E0" w:rsidP="00422B90">
      <w:pPr>
        <w:spacing w:line="400" w:lineRule="exact"/>
        <w:ind w:firstLineChars="200" w:firstLine="480"/>
        <w:rPr>
          <w:sz w:val="24"/>
          <w:szCs w:val="24"/>
        </w:rPr>
      </w:pPr>
    </w:p>
    <w:p w:rsidR="002D65E0" w:rsidRPr="00C64BF6" w:rsidRDefault="00C64BF6">
      <w:pPr>
        <w:spacing w:line="400" w:lineRule="exact"/>
        <w:jc w:val="center"/>
        <w:rPr>
          <w:rFonts w:cs="宋体"/>
          <w:b/>
          <w:bCs/>
          <w:sz w:val="32"/>
          <w:szCs w:val="32"/>
        </w:rPr>
      </w:pPr>
      <w:r>
        <w:rPr>
          <w:rFonts w:cs="宋体" w:hint="eastAsia"/>
          <w:b/>
          <w:bCs/>
          <w:sz w:val="32"/>
          <w:szCs w:val="32"/>
        </w:rPr>
        <w:t>四、</w:t>
      </w:r>
      <w:r w:rsidR="004D1EF8" w:rsidRPr="00C64BF6">
        <w:rPr>
          <w:rFonts w:cs="宋体" w:hint="eastAsia"/>
          <w:b/>
          <w:bCs/>
          <w:sz w:val="32"/>
          <w:szCs w:val="32"/>
        </w:rPr>
        <w:t>工会和劳动关系</w:t>
      </w:r>
    </w:p>
    <w:p w:rsidR="002D65E0" w:rsidRDefault="004D1EF8" w:rsidP="00422B90">
      <w:pPr>
        <w:spacing w:line="400" w:lineRule="exact"/>
        <w:ind w:firstLineChars="200" w:firstLine="480"/>
        <w:rPr>
          <w:sz w:val="24"/>
          <w:szCs w:val="24"/>
        </w:rPr>
      </w:pPr>
      <w:r>
        <w:rPr>
          <w:sz w:val="24"/>
          <w:szCs w:val="24"/>
        </w:rPr>
        <w:t>K</w:t>
      </w:r>
      <w:r>
        <w:rPr>
          <w:rFonts w:cs="宋体" w:hint="eastAsia"/>
          <w:sz w:val="24"/>
          <w:szCs w:val="24"/>
        </w:rPr>
        <w:t>公司工会隶属于慈溪市总工会。公司工会建于</w:t>
      </w:r>
      <w:r>
        <w:rPr>
          <w:sz w:val="24"/>
          <w:szCs w:val="24"/>
        </w:rPr>
        <w:t>2009</w:t>
      </w:r>
      <w:r>
        <w:rPr>
          <w:rFonts w:cs="宋体" w:hint="eastAsia"/>
          <w:sz w:val="24"/>
          <w:szCs w:val="24"/>
        </w:rPr>
        <w:t>年，这在同地区属于较晚建立工会的企业。总体上，公司并不反对工会，而且事实上，工会在协调劳动关系方面发挥了一定的积极作用，为公司的员工争取了很多福利。劳资双方的集体协商始于</w:t>
      </w:r>
      <w:r>
        <w:rPr>
          <w:sz w:val="24"/>
          <w:szCs w:val="24"/>
        </w:rPr>
        <w:t>2010</w:t>
      </w:r>
      <w:r>
        <w:rPr>
          <w:rFonts w:cs="宋体" w:hint="eastAsia"/>
          <w:sz w:val="24"/>
          <w:szCs w:val="24"/>
        </w:rPr>
        <w:t>年。与本区域内其他竞争对手相比，</w:t>
      </w:r>
      <w:r>
        <w:rPr>
          <w:sz w:val="24"/>
          <w:szCs w:val="24"/>
        </w:rPr>
        <w:t>K</w:t>
      </w:r>
      <w:r>
        <w:rPr>
          <w:rFonts w:cs="宋体" w:hint="eastAsia"/>
          <w:sz w:val="24"/>
          <w:szCs w:val="24"/>
        </w:rPr>
        <w:t>公司的工资要低一些。不过这些竞争对手一般在靠近城市的地方，经营成本比</w:t>
      </w:r>
      <w:r>
        <w:rPr>
          <w:sz w:val="24"/>
          <w:szCs w:val="24"/>
        </w:rPr>
        <w:t>K</w:t>
      </w:r>
      <w:r>
        <w:rPr>
          <w:rFonts w:cs="宋体" w:hint="eastAsia"/>
          <w:sz w:val="24"/>
          <w:szCs w:val="24"/>
        </w:rPr>
        <w:t>所在的横河镇要高很多。</w:t>
      </w:r>
    </w:p>
    <w:p w:rsidR="002D65E0" w:rsidRDefault="004D1EF8" w:rsidP="00422B90">
      <w:pPr>
        <w:spacing w:line="400" w:lineRule="exact"/>
        <w:ind w:firstLineChars="200" w:firstLine="480"/>
        <w:rPr>
          <w:sz w:val="24"/>
          <w:szCs w:val="24"/>
        </w:rPr>
      </w:pPr>
      <w:r>
        <w:rPr>
          <w:rFonts w:cs="宋体" w:hint="eastAsia"/>
          <w:sz w:val="24"/>
          <w:szCs w:val="24"/>
        </w:rPr>
        <w:t>总的来说，工会</w:t>
      </w:r>
      <w:r>
        <w:rPr>
          <w:sz w:val="24"/>
          <w:szCs w:val="24"/>
        </w:rPr>
        <w:t>VS</w:t>
      </w:r>
      <w:r>
        <w:rPr>
          <w:rFonts w:cs="宋体" w:hint="eastAsia"/>
          <w:sz w:val="24"/>
          <w:szCs w:val="24"/>
        </w:rPr>
        <w:t>管理方之间的关系是建设性的，相对较为和谐。目前为止，只在</w:t>
      </w:r>
      <w:r>
        <w:rPr>
          <w:sz w:val="24"/>
          <w:szCs w:val="24"/>
        </w:rPr>
        <w:t>2011</w:t>
      </w:r>
      <w:r>
        <w:rPr>
          <w:rFonts w:cs="宋体" w:hint="eastAsia"/>
          <w:sz w:val="24"/>
          <w:szCs w:val="24"/>
        </w:rPr>
        <w:t>年末出现过一起小型停工事件。不过，此次小型停工事件得到了地区工会的积极干预，促使总经理孙某增加了一线生产工人的福利。而这次由于引进新技术和机械可能导致出现的降薪或者减员，也让工会面临着巨大压力，如何在其中协调劳资双方的关系？如果出现裁员，又如何安抚被裁的员工，怎样为他们争取最大的补助和赔偿？</w:t>
      </w:r>
    </w:p>
    <w:p w:rsidR="002D65E0" w:rsidRDefault="002D65E0" w:rsidP="00422B90">
      <w:pPr>
        <w:spacing w:line="400" w:lineRule="exact"/>
        <w:ind w:firstLineChars="200" w:firstLine="480"/>
        <w:rPr>
          <w:sz w:val="24"/>
          <w:szCs w:val="24"/>
        </w:rPr>
      </w:pPr>
    </w:p>
    <w:p w:rsidR="002D65E0" w:rsidRPr="00C64BF6" w:rsidRDefault="00C64BF6">
      <w:pPr>
        <w:spacing w:line="400" w:lineRule="exact"/>
        <w:jc w:val="center"/>
        <w:rPr>
          <w:rFonts w:cs="宋体"/>
          <w:b/>
          <w:bCs/>
          <w:sz w:val="32"/>
          <w:szCs w:val="32"/>
        </w:rPr>
      </w:pPr>
      <w:r>
        <w:rPr>
          <w:rFonts w:cs="宋体" w:hint="eastAsia"/>
          <w:b/>
          <w:bCs/>
          <w:sz w:val="32"/>
          <w:szCs w:val="32"/>
        </w:rPr>
        <w:t>五、公司</w:t>
      </w:r>
      <w:r w:rsidR="004D1EF8" w:rsidRPr="00C64BF6">
        <w:rPr>
          <w:rFonts w:cs="宋体" w:hint="eastAsia"/>
          <w:b/>
          <w:bCs/>
          <w:sz w:val="32"/>
          <w:szCs w:val="32"/>
        </w:rPr>
        <w:t>现在情况</w:t>
      </w:r>
    </w:p>
    <w:p w:rsidR="002D65E0" w:rsidRDefault="004D1EF8" w:rsidP="00422B90">
      <w:pPr>
        <w:spacing w:line="400" w:lineRule="exact"/>
        <w:ind w:firstLineChars="200" w:firstLine="480"/>
        <w:rPr>
          <w:sz w:val="24"/>
          <w:szCs w:val="24"/>
        </w:rPr>
      </w:pPr>
      <w:r>
        <w:rPr>
          <w:color w:val="000000"/>
          <w:sz w:val="24"/>
          <w:szCs w:val="24"/>
          <w:shd w:val="clear" w:color="auto" w:fill="FFFFFF"/>
        </w:rPr>
        <w:t>K</w:t>
      </w:r>
      <w:r>
        <w:rPr>
          <w:rFonts w:cs="宋体" w:hint="eastAsia"/>
          <w:color w:val="000000"/>
          <w:sz w:val="24"/>
          <w:szCs w:val="24"/>
          <w:shd w:val="clear" w:color="auto" w:fill="FFFFFF"/>
        </w:rPr>
        <w:t>公司因为产品质量和售后服务获得了客户广泛赞誉，产品得到了消费者信赖。在设备上，公司现在花巨资</w:t>
      </w:r>
      <w:r>
        <w:rPr>
          <w:rFonts w:cs="宋体" w:hint="eastAsia"/>
          <w:sz w:val="24"/>
          <w:szCs w:val="24"/>
        </w:rPr>
        <w:t>引进德国最新的可编程定时器技术，希望进一步提高核心产品的市场吸引力。在技术人员上，公司计划给现有的高级工程师提薪，以达到保持人才的作用（公司相对其他竞争者工资略低）；也希望引进新的技术人才。</w:t>
      </w:r>
    </w:p>
    <w:p w:rsidR="002D65E0" w:rsidRDefault="004D1EF8" w:rsidP="00422B90">
      <w:pPr>
        <w:spacing w:line="400" w:lineRule="exact"/>
        <w:ind w:firstLineChars="200" w:firstLine="480"/>
        <w:rPr>
          <w:sz w:val="24"/>
          <w:szCs w:val="24"/>
        </w:rPr>
      </w:pPr>
      <w:r>
        <w:rPr>
          <w:rFonts w:cs="宋体" w:hint="eastAsia"/>
          <w:sz w:val="24"/>
          <w:szCs w:val="24"/>
        </w:rPr>
        <w:t>对于公司前景，管理层保持积极乐观的态度，但与其他公司一样，也担心</w:t>
      </w:r>
      <w:r>
        <w:rPr>
          <w:rFonts w:cs="宋体" w:hint="eastAsia"/>
          <w:sz w:val="24"/>
          <w:szCs w:val="24"/>
        </w:rPr>
        <w:lastRenderedPageBreak/>
        <w:t>因原材料价格的上涨，更高的劳动和能耗成本以及上升的利率水平。</w:t>
      </w:r>
    </w:p>
    <w:p w:rsidR="002D65E0" w:rsidRDefault="004D1EF8" w:rsidP="00422B90">
      <w:pPr>
        <w:spacing w:line="400" w:lineRule="exact"/>
        <w:ind w:firstLineChars="200" w:firstLine="480"/>
        <w:rPr>
          <w:sz w:val="24"/>
          <w:szCs w:val="24"/>
        </w:rPr>
      </w:pPr>
      <w:r>
        <w:rPr>
          <w:rFonts w:cs="宋体" w:hint="eastAsia"/>
          <w:sz w:val="24"/>
          <w:szCs w:val="24"/>
        </w:rPr>
        <w:t>为了应对可能出现的危机，公司启动了降低成本的计划，强调了控制人工成本的重要性。近期，公司发表了一系列公开声明，分析目前竞争态势，希望在随后的谈判中从工会获取工资方面的让步。声明如果不这么做，可能会丧失目前在本地区的竞争优势，并且公司可能会采取裁员的方式来争取成本的平衡。如果在降薪上与员工协调未果，那公司则有可能采取裁员的方式。但面对裁员后，如何计算补偿对于劳资双方又是一个有待解决的问题。</w:t>
      </w:r>
    </w:p>
    <w:p w:rsidR="002D65E0" w:rsidRDefault="004D1EF8" w:rsidP="00422B90">
      <w:pPr>
        <w:spacing w:line="400" w:lineRule="exact"/>
        <w:ind w:firstLineChars="200" w:firstLine="480"/>
        <w:rPr>
          <w:sz w:val="24"/>
          <w:szCs w:val="24"/>
        </w:rPr>
      </w:pPr>
      <w:r>
        <w:rPr>
          <w:rFonts w:cs="宋体" w:hint="eastAsia"/>
          <w:sz w:val="24"/>
          <w:szCs w:val="24"/>
        </w:rPr>
        <w:t>公司尽量避免停工，但是如果双方无法达到合理的协议，有可能真的出现停工。谈判需要公平，但是也要极力避免人工成本增加导致未来的增长停滞，影响盈利能力和公司的生存。</w:t>
      </w:r>
    </w:p>
    <w:p w:rsidR="002D65E0" w:rsidRDefault="004D1EF8" w:rsidP="00422B90">
      <w:pPr>
        <w:spacing w:line="400" w:lineRule="exact"/>
        <w:ind w:firstLineChars="200" w:firstLine="480"/>
        <w:rPr>
          <w:sz w:val="24"/>
          <w:szCs w:val="24"/>
        </w:rPr>
      </w:pPr>
      <w:r>
        <w:rPr>
          <w:rFonts w:cs="宋体" w:hint="eastAsia"/>
          <w:sz w:val="24"/>
          <w:szCs w:val="24"/>
        </w:rPr>
        <w:t>在工会内部，对于上次达成的谈判协议还存有疑义。但是工会成员有着共同的认知，那就是工会并没有获益太多，大多数结果属于口号性和福利性的，并没有带来工人实际工资的大幅增加，尤其是此次协商中的一线生产工人和低级销售人员。但同时，工人内部也存在着利益的分歧，尤其是拥有不同技术水平的生产工人。如果在谈判事项中某些条款，特别是出现明显让步的情形时，可能会给工会带来许多问题，可能会导致部分会员的拒绝。所以，需要积极准备谈判，代表其成员获取公平合理的结果。</w:t>
      </w:r>
    </w:p>
    <w:p w:rsidR="00422B90" w:rsidRDefault="00422B90">
      <w:pPr>
        <w:spacing w:line="400" w:lineRule="exact"/>
        <w:jc w:val="center"/>
        <w:rPr>
          <w:rFonts w:cs="宋体"/>
        </w:rPr>
      </w:pPr>
    </w:p>
    <w:p w:rsidR="00422B90" w:rsidRPr="00666B94" w:rsidRDefault="00C64BF6">
      <w:pPr>
        <w:spacing w:line="400" w:lineRule="exact"/>
        <w:jc w:val="center"/>
        <w:rPr>
          <w:rFonts w:cs="宋体"/>
          <w:b/>
          <w:bCs/>
          <w:sz w:val="32"/>
          <w:szCs w:val="32"/>
        </w:rPr>
      </w:pPr>
      <w:r w:rsidRPr="00666B94">
        <w:rPr>
          <w:rFonts w:cs="宋体"/>
          <w:b/>
          <w:bCs/>
          <w:sz w:val="32"/>
          <w:szCs w:val="32"/>
        </w:rPr>
        <w:t>六</w:t>
      </w:r>
      <w:r w:rsidRPr="00666B94">
        <w:rPr>
          <w:rFonts w:cs="宋体" w:hint="eastAsia"/>
          <w:b/>
          <w:bCs/>
          <w:sz w:val="32"/>
          <w:szCs w:val="32"/>
        </w:rPr>
        <w:t>、</w:t>
      </w:r>
      <w:r w:rsidR="00666B94" w:rsidRPr="00666B94">
        <w:rPr>
          <w:rFonts w:cs="宋体"/>
          <w:b/>
          <w:bCs/>
          <w:sz w:val="32"/>
          <w:szCs w:val="32"/>
        </w:rPr>
        <w:t>各类表格统计</w:t>
      </w:r>
    </w:p>
    <w:p w:rsidR="00666B94" w:rsidRDefault="00666B94">
      <w:pPr>
        <w:spacing w:line="400" w:lineRule="exact"/>
        <w:jc w:val="center"/>
        <w:rPr>
          <w:rFonts w:cs="宋体" w:hint="eastAsia"/>
        </w:rPr>
      </w:pPr>
    </w:p>
    <w:p w:rsidR="002D65E0" w:rsidRPr="00666B94" w:rsidRDefault="004D1EF8">
      <w:pPr>
        <w:spacing w:line="400" w:lineRule="exact"/>
        <w:jc w:val="center"/>
      </w:pPr>
      <w:r>
        <w:rPr>
          <w:rFonts w:cs="宋体" w:hint="eastAsia"/>
        </w:rPr>
        <w:t>表</w:t>
      </w:r>
      <w:proofErr w:type="gramStart"/>
      <w:r>
        <w:rPr>
          <w:rFonts w:cs="宋体" w:hint="eastAsia"/>
        </w:rPr>
        <w:t>一</w:t>
      </w:r>
      <w:proofErr w:type="gramEnd"/>
      <w:r w:rsidR="00666B94">
        <w:rPr>
          <w:rFonts w:cs="宋体" w:hint="eastAsia"/>
        </w:rPr>
        <w:t>：</w:t>
      </w:r>
      <w:r w:rsidR="00666B94" w:rsidRPr="00666B94">
        <w:rPr>
          <w:rFonts w:ascii="Verdana" w:hAnsi="Verdana" w:cs="Verdana"/>
          <w:bCs/>
          <w:color w:val="000000"/>
          <w:shd w:val="clear" w:color="auto" w:fill="FFFFFF"/>
        </w:rPr>
        <w:t>2014</w:t>
      </w:r>
      <w:r w:rsidR="00666B94" w:rsidRPr="00666B94">
        <w:rPr>
          <w:rFonts w:ascii="Verdana" w:hAnsi="Verdana" w:cs="宋体" w:hint="eastAsia"/>
          <w:bCs/>
          <w:color w:val="000000"/>
          <w:shd w:val="clear" w:color="auto" w:fill="FFFFFF"/>
        </w:rPr>
        <w:t>年家电出口前十位企业（万元）</w:t>
      </w:r>
    </w:p>
    <w:tbl>
      <w:tblPr>
        <w:tblW w:w="6714" w:type="dxa"/>
        <w:jc w:val="center"/>
        <w:tblBorders>
          <w:top w:val="single" w:sz="12" w:space="0" w:color="000000"/>
          <w:bottom w:val="single" w:sz="12" w:space="0" w:color="000000"/>
          <w:insideH w:val="single" w:sz="6" w:space="0" w:color="000000"/>
        </w:tblBorders>
        <w:tblLayout w:type="fixed"/>
        <w:tblLook w:val="04A0" w:firstRow="1" w:lastRow="0" w:firstColumn="1" w:lastColumn="0" w:noHBand="0" w:noVBand="1"/>
      </w:tblPr>
      <w:tblGrid>
        <w:gridCol w:w="1652"/>
        <w:gridCol w:w="2841"/>
        <w:gridCol w:w="2221"/>
      </w:tblGrid>
      <w:tr w:rsidR="002D65E0">
        <w:trPr>
          <w:jc w:val="center"/>
        </w:trPr>
        <w:tc>
          <w:tcPr>
            <w:tcW w:w="6714" w:type="dxa"/>
            <w:gridSpan w:val="3"/>
            <w:tcBorders>
              <w:top w:val="single" w:sz="12" w:space="0" w:color="000000"/>
              <w:bottom w:val="single" w:sz="12" w:space="0" w:color="000000"/>
            </w:tcBorders>
          </w:tcPr>
          <w:p w:rsidR="002D65E0" w:rsidRDefault="004D1EF8">
            <w:pPr>
              <w:jc w:val="center"/>
              <w:rPr>
                <w:rFonts w:ascii="Verdana" w:hAnsi="Verdana" w:cs="Verdana"/>
                <w:b/>
                <w:bCs/>
                <w:color w:val="000000"/>
                <w:shd w:val="clear" w:color="auto" w:fill="FFFFFF"/>
              </w:rPr>
            </w:pPr>
            <w:r>
              <w:rPr>
                <w:rFonts w:ascii="Verdana" w:hAnsi="Verdana" w:cs="Verdana"/>
                <w:b/>
                <w:bCs/>
                <w:color w:val="000000"/>
                <w:shd w:val="clear" w:color="auto" w:fill="FFFFFF"/>
              </w:rPr>
              <w:t>04-14</w:t>
            </w:r>
            <w:r>
              <w:rPr>
                <w:rFonts w:ascii="Verdana" w:hAnsi="Verdana" w:cs="宋体" w:hint="eastAsia"/>
                <w:b/>
                <w:bCs/>
                <w:color w:val="000000"/>
                <w:shd w:val="clear" w:color="auto" w:fill="FFFFFF"/>
              </w:rPr>
              <w:t>年慈溪市家电出口情况对比</w:t>
            </w:r>
          </w:p>
        </w:tc>
      </w:tr>
      <w:tr w:rsidR="002D65E0">
        <w:trPr>
          <w:jc w:val="center"/>
        </w:trPr>
        <w:tc>
          <w:tcPr>
            <w:tcW w:w="1652" w:type="dxa"/>
          </w:tcPr>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t>年份</w:t>
            </w:r>
          </w:p>
        </w:tc>
        <w:tc>
          <w:tcPr>
            <w:tcW w:w="2841" w:type="dxa"/>
          </w:tcPr>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t>出口金额（万美元）</w:t>
            </w:r>
          </w:p>
        </w:tc>
        <w:tc>
          <w:tcPr>
            <w:tcW w:w="2221" w:type="dxa"/>
          </w:tcPr>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t>同比增长</w:t>
            </w:r>
          </w:p>
        </w:tc>
      </w:tr>
      <w:tr w:rsidR="002D65E0">
        <w:trPr>
          <w:jc w:val="center"/>
        </w:trPr>
        <w:tc>
          <w:tcPr>
            <w:tcW w:w="1652"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2004</w:t>
            </w:r>
          </w:p>
        </w:tc>
        <w:tc>
          <w:tcPr>
            <w:tcW w:w="2841"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79331.69</w:t>
            </w:r>
          </w:p>
        </w:tc>
        <w:tc>
          <w:tcPr>
            <w:tcW w:w="2221"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43.97%</w:t>
            </w:r>
          </w:p>
        </w:tc>
      </w:tr>
      <w:tr w:rsidR="002D65E0">
        <w:trPr>
          <w:jc w:val="center"/>
        </w:trPr>
        <w:tc>
          <w:tcPr>
            <w:tcW w:w="1652"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2005</w:t>
            </w:r>
          </w:p>
        </w:tc>
        <w:tc>
          <w:tcPr>
            <w:tcW w:w="2841"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111510.71</w:t>
            </w:r>
          </w:p>
        </w:tc>
        <w:tc>
          <w:tcPr>
            <w:tcW w:w="2221"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40.56%</w:t>
            </w:r>
          </w:p>
        </w:tc>
      </w:tr>
      <w:tr w:rsidR="002D65E0">
        <w:trPr>
          <w:jc w:val="center"/>
        </w:trPr>
        <w:tc>
          <w:tcPr>
            <w:tcW w:w="1652"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2006</w:t>
            </w:r>
          </w:p>
        </w:tc>
        <w:tc>
          <w:tcPr>
            <w:tcW w:w="2841"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151658.63</w:t>
            </w:r>
          </w:p>
        </w:tc>
        <w:tc>
          <w:tcPr>
            <w:tcW w:w="2221"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36.00%</w:t>
            </w:r>
          </w:p>
        </w:tc>
      </w:tr>
      <w:tr w:rsidR="002D65E0">
        <w:trPr>
          <w:jc w:val="center"/>
        </w:trPr>
        <w:tc>
          <w:tcPr>
            <w:tcW w:w="1652"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2007</w:t>
            </w:r>
          </w:p>
        </w:tc>
        <w:tc>
          <w:tcPr>
            <w:tcW w:w="2841"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174184.49</w:t>
            </w:r>
          </w:p>
        </w:tc>
        <w:tc>
          <w:tcPr>
            <w:tcW w:w="2221"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26.42%</w:t>
            </w:r>
          </w:p>
        </w:tc>
      </w:tr>
      <w:tr w:rsidR="002D65E0">
        <w:trPr>
          <w:jc w:val="center"/>
        </w:trPr>
        <w:tc>
          <w:tcPr>
            <w:tcW w:w="1652"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2008</w:t>
            </w:r>
          </w:p>
        </w:tc>
        <w:tc>
          <w:tcPr>
            <w:tcW w:w="2841"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204521.97</w:t>
            </w:r>
          </w:p>
        </w:tc>
        <w:tc>
          <w:tcPr>
            <w:tcW w:w="2221"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17.41%</w:t>
            </w:r>
          </w:p>
        </w:tc>
      </w:tr>
      <w:tr w:rsidR="002D65E0">
        <w:trPr>
          <w:jc w:val="center"/>
        </w:trPr>
        <w:tc>
          <w:tcPr>
            <w:tcW w:w="1652"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2009</w:t>
            </w:r>
          </w:p>
        </w:tc>
        <w:tc>
          <w:tcPr>
            <w:tcW w:w="2841"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180081.94</w:t>
            </w:r>
          </w:p>
        </w:tc>
        <w:tc>
          <w:tcPr>
            <w:tcW w:w="2221"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-11.9%</w:t>
            </w:r>
          </w:p>
        </w:tc>
      </w:tr>
      <w:tr w:rsidR="002D65E0">
        <w:trPr>
          <w:jc w:val="center"/>
        </w:trPr>
        <w:tc>
          <w:tcPr>
            <w:tcW w:w="1652"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2010</w:t>
            </w:r>
          </w:p>
        </w:tc>
        <w:tc>
          <w:tcPr>
            <w:tcW w:w="2841"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247236.37</w:t>
            </w:r>
          </w:p>
        </w:tc>
        <w:tc>
          <w:tcPr>
            <w:tcW w:w="2221"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37.3%</w:t>
            </w:r>
          </w:p>
        </w:tc>
      </w:tr>
      <w:tr w:rsidR="002D65E0">
        <w:trPr>
          <w:jc w:val="center"/>
        </w:trPr>
        <w:tc>
          <w:tcPr>
            <w:tcW w:w="1652"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2011</w:t>
            </w:r>
          </w:p>
        </w:tc>
        <w:tc>
          <w:tcPr>
            <w:tcW w:w="2841"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300392.19</w:t>
            </w:r>
          </w:p>
        </w:tc>
        <w:tc>
          <w:tcPr>
            <w:tcW w:w="2221"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21.5%</w:t>
            </w:r>
          </w:p>
        </w:tc>
      </w:tr>
      <w:tr w:rsidR="002D65E0">
        <w:trPr>
          <w:jc w:val="center"/>
        </w:trPr>
        <w:tc>
          <w:tcPr>
            <w:tcW w:w="1652"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2012</w:t>
            </w:r>
          </w:p>
        </w:tc>
        <w:tc>
          <w:tcPr>
            <w:tcW w:w="2841"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356265.14</w:t>
            </w:r>
          </w:p>
        </w:tc>
        <w:tc>
          <w:tcPr>
            <w:tcW w:w="2221"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18.6%</w:t>
            </w:r>
          </w:p>
        </w:tc>
      </w:tr>
      <w:tr w:rsidR="002D65E0">
        <w:trPr>
          <w:jc w:val="center"/>
        </w:trPr>
        <w:tc>
          <w:tcPr>
            <w:tcW w:w="1652"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2013</w:t>
            </w:r>
          </w:p>
        </w:tc>
        <w:tc>
          <w:tcPr>
            <w:tcW w:w="2841"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417186.48</w:t>
            </w:r>
          </w:p>
        </w:tc>
        <w:tc>
          <w:tcPr>
            <w:tcW w:w="2221"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17.1%</w:t>
            </w:r>
          </w:p>
        </w:tc>
      </w:tr>
      <w:tr w:rsidR="002D65E0">
        <w:trPr>
          <w:jc w:val="center"/>
        </w:trPr>
        <w:tc>
          <w:tcPr>
            <w:tcW w:w="1652" w:type="dxa"/>
            <w:tcBorders>
              <w:bottom w:val="single" w:sz="12" w:space="0" w:color="000000"/>
            </w:tcBorders>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2014</w:t>
            </w:r>
          </w:p>
        </w:tc>
        <w:tc>
          <w:tcPr>
            <w:tcW w:w="2841" w:type="dxa"/>
            <w:tcBorders>
              <w:bottom w:val="single" w:sz="12" w:space="0" w:color="000000"/>
            </w:tcBorders>
          </w:tcPr>
          <w:p w:rsidR="002D65E0" w:rsidRDefault="004D1EF8">
            <w:pPr>
              <w:jc w:val="center"/>
              <w:rPr>
                <w:rFonts w:ascii="宋体"/>
              </w:rPr>
            </w:pPr>
            <w:r>
              <w:rPr>
                <w:rFonts w:ascii="Verdana" w:hAnsi="Verdana" w:cs="Verdana"/>
                <w:color w:val="000000"/>
                <w:shd w:val="clear" w:color="auto" w:fill="FFFFFF"/>
              </w:rPr>
              <w:t>523151.84</w:t>
            </w:r>
          </w:p>
        </w:tc>
        <w:tc>
          <w:tcPr>
            <w:tcW w:w="2221" w:type="dxa"/>
            <w:tcBorders>
              <w:bottom w:val="single" w:sz="12" w:space="0" w:color="000000"/>
            </w:tcBorders>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25.4%</w:t>
            </w:r>
          </w:p>
        </w:tc>
      </w:tr>
    </w:tbl>
    <w:p w:rsidR="002D65E0" w:rsidRDefault="002D65E0">
      <w:pPr>
        <w:rPr>
          <w:rFonts w:ascii="Verdana" w:hAnsi="Verdana" w:cs="Verdana"/>
          <w:color w:val="000000"/>
          <w:sz w:val="24"/>
          <w:szCs w:val="24"/>
          <w:shd w:val="clear" w:color="auto" w:fill="FFFFFF"/>
        </w:rPr>
      </w:pPr>
    </w:p>
    <w:p w:rsidR="00666B94" w:rsidRDefault="00666B94">
      <w:pPr>
        <w:jc w:val="center"/>
        <w:rPr>
          <w:rFonts w:ascii="Verdana" w:hAnsi="Verdana" w:cs="宋体" w:hint="eastAsia"/>
          <w:color w:val="000000"/>
          <w:shd w:val="clear" w:color="auto" w:fill="FFFFFF"/>
        </w:rPr>
      </w:pPr>
    </w:p>
    <w:p w:rsidR="00666B94" w:rsidRDefault="00666B94">
      <w:pPr>
        <w:jc w:val="center"/>
        <w:rPr>
          <w:rFonts w:ascii="Verdana" w:hAnsi="Verdana" w:cs="宋体" w:hint="eastAsia"/>
          <w:color w:val="000000"/>
          <w:shd w:val="clear" w:color="auto" w:fill="FFFFFF"/>
        </w:rPr>
      </w:pPr>
    </w:p>
    <w:p w:rsidR="00666B94" w:rsidRDefault="00666B94">
      <w:pPr>
        <w:jc w:val="center"/>
        <w:rPr>
          <w:rFonts w:ascii="Verdana" w:hAnsi="Verdana" w:cs="宋体" w:hint="eastAsia"/>
          <w:color w:val="000000"/>
          <w:shd w:val="clear" w:color="auto" w:fill="FFFFFF"/>
        </w:rPr>
      </w:pPr>
    </w:p>
    <w:p w:rsidR="00666B94" w:rsidRDefault="00666B94">
      <w:pPr>
        <w:jc w:val="center"/>
        <w:rPr>
          <w:rFonts w:ascii="Verdana" w:hAnsi="Verdana" w:cs="宋体" w:hint="eastAsia"/>
          <w:color w:val="000000"/>
          <w:shd w:val="clear" w:color="auto" w:fill="FFFFFF"/>
        </w:rPr>
      </w:pPr>
    </w:p>
    <w:p w:rsidR="00666B94" w:rsidRDefault="00666B94">
      <w:pPr>
        <w:jc w:val="center"/>
        <w:rPr>
          <w:rFonts w:ascii="Verdana" w:hAnsi="Verdana" w:cs="宋体" w:hint="eastAsia"/>
          <w:color w:val="000000"/>
          <w:shd w:val="clear" w:color="auto" w:fill="FFFFFF"/>
        </w:rPr>
      </w:pPr>
    </w:p>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lastRenderedPageBreak/>
        <w:t>表二</w:t>
      </w:r>
      <w:r w:rsidR="00666B94">
        <w:rPr>
          <w:rFonts w:ascii="Verdana" w:hAnsi="Verdana" w:cs="宋体" w:hint="eastAsia"/>
          <w:color w:val="000000"/>
          <w:shd w:val="clear" w:color="auto" w:fill="FFFFFF"/>
        </w:rPr>
        <w:t>：</w:t>
      </w:r>
      <w:r w:rsidR="00666B94" w:rsidRPr="00666B94">
        <w:rPr>
          <w:rFonts w:ascii="Verdana" w:hAnsi="Verdana" w:cs="Verdana"/>
          <w:bCs/>
          <w:color w:val="000000"/>
          <w:shd w:val="clear" w:color="auto" w:fill="FFFFFF"/>
        </w:rPr>
        <w:t>2014</w:t>
      </w:r>
      <w:r w:rsidR="00666B94" w:rsidRPr="00666B94">
        <w:rPr>
          <w:rFonts w:ascii="Verdana" w:hAnsi="Verdana" w:cs="宋体" w:hint="eastAsia"/>
          <w:bCs/>
          <w:color w:val="000000"/>
          <w:shd w:val="clear" w:color="auto" w:fill="FFFFFF"/>
        </w:rPr>
        <w:t>年家电出口前十位企业（万元）</w:t>
      </w:r>
    </w:p>
    <w:tbl>
      <w:tblPr>
        <w:tblW w:w="8640" w:type="dxa"/>
        <w:jc w:val="center"/>
        <w:tblBorders>
          <w:top w:val="single" w:sz="12" w:space="0" w:color="000000"/>
          <w:bottom w:val="single" w:sz="12" w:space="0" w:color="000000"/>
          <w:insideH w:val="single" w:sz="6" w:space="0" w:color="000000"/>
        </w:tblBorders>
        <w:tblLayout w:type="fixed"/>
        <w:tblLook w:val="04A0" w:firstRow="1" w:lastRow="0" w:firstColumn="1" w:lastColumn="0" w:noHBand="0" w:noVBand="1"/>
      </w:tblPr>
      <w:tblGrid>
        <w:gridCol w:w="3240"/>
        <w:gridCol w:w="1992"/>
        <w:gridCol w:w="1608"/>
        <w:gridCol w:w="1800"/>
      </w:tblGrid>
      <w:tr w:rsidR="002D65E0">
        <w:trPr>
          <w:jc w:val="center"/>
        </w:trPr>
        <w:tc>
          <w:tcPr>
            <w:tcW w:w="8640" w:type="dxa"/>
            <w:gridSpan w:val="4"/>
            <w:tcBorders>
              <w:top w:val="single" w:sz="12" w:space="0" w:color="000000"/>
              <w:bottom w:val="single" w:sz="12" w:space="0" w:color="000000"/>
            </w:tcBorders>
          </w:tcPr>
          <w:p w:rsidR="002D65E0" w:rsidRDefault="004D1EF8">
            <w:pPr>
              <w:jc w:val="center"/>
              <w:rPr>
                <w:rFonts w:ascii="Verdana" w:hAnsi="Verdana" w:cs="Verdana"/>
                <w:b/>
                <w:bCs/>
                <w:color w:val="000000"/>
                <w:shd w:val="clear" w:color="auto" w:fill="FFFFFF"/>
              </w:rPr>
            </w:pPr>
            <w:r>
              <w:rPr>
                <w:rFonts w:ascii="Verdana" w:hAnsi="Verdana" w:cs="Verdana"/>
                <w:b/>
                <w:bCs/>
                <w:color w:val="000000"/>
                <w:shd w:val="clear" w:color="auto" w:fill="FFFFFF"/>
              </w:rPr>
              <w:t>2014</w:t>
            </w:r>
            <w:r>
              <w:rPr>
                <w:rFonts w:ascii="Verdana" w:hAnsi="Verdana" w:cs="宋体" w:hint="eastAsia"/>
                <w:b/>
                <w:bCs/>
                <w:color w:val="000000"/>
                <w:shd w:val="clear" w:color="auto" w:fill="FFFFFF"/>
              </w:rPr>
              <w:t>年家电出口前十位企业（万元）</w:t>
            </w:r>
          </w:p>
        </w:tc>
      </w:tr>
      <w:tr w:rsidR="002D65E0">
        <w:trPr>
          <w:trHeight w:val="90"/>
          <w:jc w:val="center"/>
        </w:trPr>
        <w:tc>
          <w:tcPr>
            <w:tcW w:w="3240" w:type="dxa"/>
          </w:tcPr>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t>企业名称</w:t>
            </w:r>
          </w:p>
        </w:tc>
        <w:tc>
          <w:tcPr>
            <w:tcW w:w="1992" w:type="dxa"/>
          </w:tcPr>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t>累计出口</w:t>
            </w:r>
          </w:p>
        </w:tc>
        <w:tc>
          <w:tcPr>
            <w:tcW w:w="1608" w:type="dxa"/>
          </w:tcPr>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t>去年同期</w:t>
            </w:r>
          </w:p>
        </w:tc>
        <w:tc>
          <w:tcPr>
            <w:tcW w:w="1800" w:type="dxa"/>
          </w:tcPr>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t>同比增长</w:t>
            </w:r>
          </w:p>
        </w:tc>
      </w:tr>
      <w:tr w:rsidR="002D65E0">
        <w:trPr>
          <w:jc w:val="center"/>
        </w:trPr>
        <w:tc>
          <w:tcPr>
            <w:tcW w:w="3240" w:type="dxa"/>
          </w:tcPr>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t>卓力电器集团有限公司</w:t>
            </w:r>
          </w:p>
        </w:tc>
        <w:tc>
          <w:tcPr>
            <w:tcW w:w="1992"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247236.37</w:t>
            </w:r>
          </w:p>
        </w:tc>
        <w:tc>
          <w:tcPr>
            <w:tcW w:w="1608"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180081.94</w:t>
            </w:r>
          </w:p>
        </w:tc>
        <w:tc>
          <w:tcPr>
            <w:tcW w:w="1800"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37.3%</w:t>
            </w:r>
          </w:p>
        </w:tc>
      </w:tr>
      <w:tr w:rsidR="002D65E0">
        <w:trPr>
          <w:jc w:val="center"/>
        </w:trPr>
        <w:tc>
          <w:tcPr>
            <w:tcW w:w="3240" w:type="dxa"/>
          </w:tcPr>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t>宁波市慈溪进出口股份有限公司</w:t>
            </w:r>
          </w:p>
        </w:tc>
        <w:tc>
          <w:tcPr>
            <w:tcW w:w="1992"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22238.52</w:t>
            </w:r>
          </w:p>
        </w:tc>
        <w:tc>
          <w:tcPr>
            <w:tcW w:w="1608"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16656.58</w:t>
            </w:r>
          </w:p>
        </w:tc>
        <w:tc>
          <w:tcPr>
            <w:tcW w:w="1800"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33.5%</w:t>
            </w:r>
          </w:p>
        </w:tc>
      </w:tr>
      <w:tr w:rsidR="002D65E0">
        <w:trPr>
          <w:jc w:val="center"/>
        </w:trPr>
        <w:tc>
          <w:tcPr>
            <w:tcW w:w="3240" w:type="dxa"/>
          </w:tcPr>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t>宁波</w:t>
            </w:r>
            <w:proofErr w:type="gramStart"/>
            <w:r>
              <w:rPr>
                <w:rFonts w:ascii="Verdana" w:hAnsi="Verdana" w:cs="宋体" w:hint="eastAsia"/>
                <w:color w:val="000000"/>
                <w:shd w:val="clear" w:color="auto" w:fill="FFFFFF"/>
              </w:rPr>
              <w:t>凯</w:t>
            </w:r>
            <w:proofErr w:type="gramEnd"/>
            <w:r>
              <w:rPr>
                <w:rFonts w:ascii="Verdana" w:hAnsi="Verdana" w:cs="宋体" w:hint="eastAsia"/>
                <w:color w:val="000000"/>
                <w:shd w:val="clear" w:color="auto" w:fill="FFFFFF"/>
              </w:rPr>
              <w:t>波集团有限公司</w:t>
            </w:r>
          </w:p>
        </w:tc>
        <w:tc>
          <w:tcPr>
            <w:tcW w:w="1992"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17424.65</w:t>
            </w:r>
          </w:p>
        </w:tc>
        <w:tc>
          <w:tcPr>
            <w:tcW w:w="1608" w:type="dxa"/>
          </w:tcPr>
          <w:p w:rsidR="002D65E0" w:rsidRDefault="004D1EF8">
            <w:pPr>
              <w:jc w:val="center"/>
              <w:rPr>
                <w:rFonts w:ascii="Verdana" w:hAnsi="Verdana" w:cs="Verdana"/>
                <w:b/>
                <w:bCs/>
                <w:color w:val="000000"/>
                <w:shd w:val="clear" w:color="auto" w:fill="FFFFFF"/>
              </w:rPr>
            </w:pPr>
            <w:r>
              <w:rPr>
                <w:rFonts w:ascii="Verdana" w:hAnsi="Verdana" w:cs="Verdana"/>
                <w:color w:val="000000"/>
                <w:shd w:val="clear" w:color="auto" w:fill="FFFFFF"/>
              </w:rPr>
              <w:t>12994.48</w:t>
            </w:r>
          </w:p>
        </w:tc>
        <w:tc>
          <w:tcPr>
            <w:tcW w:w="1800"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34.1%</w:t>
            </w:r>
          </w:p>
        </w:tc>
      </w:tr>
      <w:tr w:rsidR="002D65E0">
        <w:trPr>
          <w:jc w:val="center"/>
        </w:trPr>
        <w:tc>
          <w:tcPr>
            <w:tcW w:w="3240" w:type="dxa"/>
          </w:tcPr>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t>慈溪宏</w:t>
            </w:r>
            <w:proofErr w:type="gramStart"/>
            <w:r>
              <w:rPr>
                <w:rFonts w:ascii="Verdana" w:hAnsi="Verdana" w:cs="宋体" w:hint="eastAsia"/>
                <w:color w:val="000000"/>
                <w:shd w:val="clear" w:color="auto" w:fill="FFFFFF"/>
              </w:rPr>
              <w:t>一</w:t>
            </w:r>
            <w:proofErr w:type="gramEnd"/>
            <w:r>
              <w:rPr>
                <w:rFonts w:ascii="Verdana" w:hAnsi="Verdana" w:cs="宋体" w:hint="eastAsia"/>
                <w:color w:val="000000"/>
                <w:shd w:val="clear" w:color="auto" w:fill="FFFFFF"/>
              </w:rPr>
              <w:t>电子有限公司</w:t>
            </w:r>
          </w:p>
        </w:tc>
        <w:tc>
          <w:tcPr>
            <w:tcW w:w="1992"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13895.68</w:t>
            </w:r>
          </w:p>
        </w:tc>
        <w:tc>
          <w:tcPr>
            <w:tcW w:w="1608"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11040.99</w:t>
            </w:r>
          </w:p>
        </w:tc>
        <w:tc>
          <w:tcPr>
            <w:tcW w:w="1800"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25.9%</w:t>
            </w:r>
          </w:p>
        </w:tc>
      </w:tr>
      <w:tr w:rsidR="002D65E0">
        <w:trPr>
          <w:jc w:val="center"/>
        </w:trPr>
        <w:tc>
          <w:tcPr>
            <w:tcW w:w="3240" w:type="dxa"/>
          </w:tcPr>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t>宁波</w:t>
            </w:r>
            <w:proofErr w:type="gramStart"/>
            <w:r>
              <w:rPr>
                <w:rFonts w:ascii="Verdana" w:hAnsi="Verdana" w:cs="宋体" w:hint="eastAsia"/>
                <w:color w:val="000000"/>
                <w:shd w:val="clear" w:color="auto" w:fill="FFFFFF"/>
              </w:rPr>
              <w:t>凯</w:t>
            </w:r>
            <w:proofErr w:type="gramEnd"/>
            <w:r>
              <w:rPr>
                <w:rFonts w:ascii="Verdana" w:hAnsi="Verdana" w:cs="宋体" w:hint="eastAsia"/>
                <w:color w:val="000000"/>
                <w:shd w:val="clear" w:color="auto" w:fill="FFFFFF"/>
              </w:rPr>
              <w:t>峰电器有限公司</w:t>
            </w:r>
          </w:p>
        </w:tc>
        <w:tc>
          <w:tcPr>
            <w:tcW w:w="1992"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9390.61</w:t>
            </w:r>
          </w:p>
        </w:tc>
        <w:tc>
          <w:tcPr>
            <w:tcW w:w="1608"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7096.00</w:t>
            </w:r>
          </w:p>
        </w:tc>
        <w:tc>
          <w:tcPr>
            <w:tcW w:w="1800"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32.3%</w:t>
            </w:r>
          </w:p>
        </w:tc>
      </w:tr>
      <w:tr w:rsidR="002D65E0">
        <w:trPr>
          <w:jc w:val="center"/>
        </w:trPr>
        <w:tc>
          <w:tcPr>
            <w:tcW w:w="3240" w:type="dxa"/>
          </w:tcPr>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t>华裕电器集团有限公司</w:t>
            </w:r>
          </w:p>
        </w:tc>
        <w:tc>
          <w:tcPr>
            <w:tcW w:w="1992"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6882.75</w:t>
            </w:r>
          </w:p>
        </w:tc>
        <w:tc>
          <w:tcPr>
            <w:tcW w:w="1608"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5326.23</w:t>
            </w:r>
          </w:p>
        </w:tc>
        <w:tc>
          <w:tcPr>
            <w:tcW w:w="1800"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29.2%</w:t>
            </w:r>
          </w:p>
        </w:tc>
      </w:tr>
      <w:tr w:rsidR="002D65E0">
        <w:trPr>
          <w:jc w:val="center"/>
        </w:trPr>
        <w:tc>
          <w:tcPr>
            <w:tcW w:w="3240" w:type="dxa"/>
          </w:tcPr>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t>浙江月立电器有限公司</w:t>
            </w:r>
          </w:p>
        </w:tc>
        <w:tc>
          <w:tcPr>
            <w:tcW w:w="1992"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6510.75</w:t>
            </w:r>
          </w:p>
        </w:tc>
        <w:tc>
          <w:tcPr>
            <w:tcW w:w="1608"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4865.93</w:t>
            </w:r>
          </w:p>
        </w:tc>
        <w:tc>
          <w:tcPr>
            <w:tcW w:w="1800"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33.8%</w:t>
            </w:r>
          </w:p>
        </w:tc>
      </w:tr>
      <w:tr w:rsidR="002D65E0">
        <w:trPr>
          <w:jc w:val="center"/>
        </w:trPr>
        <w:tc>
          <w:tcPr>
            <w:tcW w:w="3240" w:type="dxa"/>
          </w:tcPr>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t>慈溪冬宫电器有限公司</w:t>
            </w:r>
          </w:p>
        </w:tc>
        <w:tc>
          <w:tcPr>
            <w:tcW w:w="1992"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6110.71</w:t>
            </w:r>
          </w:p>
        </w:tc>
        <w:tc>
          <w:tcPr>
            <w:tcW w:w="1608"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4921.72</w:t>
            </w:r>
          </w:p>
        </w:tc>
        <w:tc>
          <w:tcPr>
            <w:tcW w:w="1800"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24.2%</w:t>
            </w:r>
          </w:p>
        </w:tc>
      </w:tr>
      <w:tr w:rsidR="002D65E0">
        <w:trPr>
          <w:jc w:val="center"/>
        </w:trPr>
        <w:tc>
          <w:tcPr>
            <w:tcW w:w="3240" w:type="dxa"/>
          </w:tcPr>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t>宁波</w:t>
            </w:r>
            <w:proofErr w:type="gramStart"/>
            <w:r>
              <w:rPr>
                <w:rFonts w:ascii="Verdana" w:hAnsi="Verdana" w:cs="宋体" w:hint="eastAsia"/>
                <w:color w:val="000000"/>
                <w:shd w:val="clear" w:color="auto" w:fill="FFFFFF"/>
              </w:rPr>
              <w:t>明讯电子</w:t>
            </w:r>
            <w:proofErr w:type="gramEnd"/>
            <w:r>
              <w:rPr>
                <w:rFonts w:ascii="Verdana" w:hAnsi="Verdana" w:cs="宋体" w:hint="eastAsia"/>
                <w:color w:val="000000"/>
                <w:shd w:val="clear" w:color="auto" w:fill="FFFFFF"/>
              </w:rPr>
              <w:t>科技有限公司</w:t>
            </w:r>
          </w:p>
        </w:tc>
        <w:tc>
          <w:tcPr>
            <w:tcW w:w="1992"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4798.04</w:t>
            </w:r>
          </w:p>
        </w:tc>
        <w:tc>
          <w:tcPr>
            <w:tcW w:w="1608"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3412.61</w:t>
            </w:r>
          </w:p>
        </w:tc>
        <w:tc>
          <w:tcPr>
            <w:tcW w:w="1800"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40.6%</w:t>
            </w:r>
          </w:p>
        </w:tc>
      </w:tr>
      <w:tr w:rsidR="002D65E0">
        <w:trPr>
          <w:jc w:val="center"/>
        </w:trPr>
        <w:tc>
          <w:tcPr>
            <w:tcW w:w="3240" w:type="dxa"/>
            <w:tcBorders>
              <w:bottom w:val="single" w:sz="12" w:space="0" w:color="000000"/>
            </w:tcBorders>
          </w:tcPr>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t>宁波先锋电器制造有限公司</w:t>
            </w:r>
          </w:p>
        </w:tc>
        <w:tc>
          <w:tcPr>
            <w:tcW w:w="1992" w:type="dxa"/>
            <w:tcBorders>
              <w:bottom w:val="single" w:sz="12" w:space="0" w:color="000000"/>
            </w:tcBorders>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4471.31</w:t>
            </w:r>
          </w:p>
        </w:tc>
        <w:tc>
          <w:tcPr>
            <w:tcW w:w="1608" w:type="dxa"/>
            <w:tcBorders>
              <w:bottom w:val="single" w:sz="12" w:space="0" w:color="000000"/>
            </w:tcBorders>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3643.75</w:t>
            </w:r>
          </w:p>
        </w:tc>
        <w:tc>
          <w:tcPr>
            <w:tcW w:w="1800" w:type="dxa"/>
            <w:tcBorders>
              <w:bottom w:val="single" w:sz="12" w:space="0" w:color="000000"/>
            </w:tcBorders>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22.8%</w:t>
            </w:r>
          </w:p>
        </w:tc>
      </w:tr>
    </w:tbl>
    <w:p w:rsidR="002D65E0" w:rsidRDefault="004D1EF8" w:rsidP="00422B90">
      <w:pPr>
        <w:ind w:firstLineChars="200" w:firstLine="360"/>
        <w:rPr>
          <w:rFonts w:ascii="Verdana" w:hAnsi="Verdana" w:cs="Verdana"/>
          <w:color w:val="000000"/>
          <w:sz w:val="18"/>
          <w:szCs w:val="18"/>
          <w:shd w:val="clear" w:color="auto" w:fill="FFFFFF"/>
        </w:rPr>
      </w:pPr>
      <w:r>
        <w:rPr>
          <w:rFonts w:ascii="Verdana" w:hAnsi="Verdana" w:cs="宋体" w:hint="eastAsia"/>
          <w:color w:val="000000"/>
          <w:sz w:val="18"/>
          <w:szCs w:val="18"/>
          <w:shd w:val="clear" w:color="auto" w:fill="FFFFFF"/>
        </w:rPr>
        <w:t>注：</w:t>
      </w:r>
      <w:r>
        <w:rPr>
          <w:rFonts w:ascii="Verdana" w:hAnsi="Verdana" w:cs="Verdana"/>
          <w:color w:val="000000"/>
          <w:sz w:val="18"/>
          <w:szCs w:val="18"/>
          <w:shd w:val="clear" w:color="auto" w:fill="FFFFFF"/>
        </w:rPr>
        <w:t>2014</w:t>
      </w:r>
      <w:r>
        <w:rPr>
          <w:rFonts w:ascii="Verdana" w:hAnsi="Verdana" w:cs="宋体" w:hint="eastAsia"/>
          <w:color w:val="000000"/>
          <w:sz w:val="18"/>
          <w:szCs w:val="18"/>
          <w:shd w:val="clear" w:color="auto" w:fill="FFFFFF"/>
        </w:rPr>
        <w:t>年全年慈溪市家电出口企业</w:t>
      </w:r>
      <w:r>
        <w:rPr>
          <w:rFonts w:ascii="Verdana" w:hAnsi="Verdana" w:cs="Verdana"/>
          <w:color w:val="000000"/>
          <w:sz w:val="18"/>
          <w:szCs w:val="18"/>
          <w:shd w:val="clear" w:color="auto" w:fill="FFFFFF"/>
        </w:rPr>
        <w:t>556</w:t>
      </w:r>
      <w:r>
        <w:rPr>
          <w:rFonts w:ascii="Verdana" w:hAnsi="Verdana" w:cs="宋体" w:hint="eastAsia"/>
          <w:color w:val="000000"/>
          <w:sz w:val="18"/>
          <w:szCs w:val="18"/>
          <w:shd w:val="clear" w:color="auto" w:fill="FFFFFF"/>
        </w:rPr>
        <w:t>家，同比增加</w:t>
      </w:r>
      <w:r>
        <w:rPr>
          <w:rFonts w:ascii="Verdana" w:hAnsi="Verdana" w:cs="Verdana"/>
          <w:color w:val="000000"/>
          <w:sz w:val="18"/>
          <w:szCs w:val="18"/>
          <w:shd w:val="clear" w:color="auto" w:fill="FFFFFF"/>
        </w:rPr>
        <w:t>60</w:t>
      </w:r>
      <w:r>
        <w:rPr>
          <w:rFonts w:ascii="Verdana" w:hAnsi="Verdana" w:cs="宋体" w:hint="eastAsia"/>
          <w:color w:val="000000"/>
          <w:sz w:val="18"/>
          <w:szCs w:val="18"/>
          <w:shd w:val="clear" w:color="auto" w:fill="FFFFFF"/>
        </w:rPr>
        <w:t>家。家电出口前十位企业如下</w:t>
      </w:r>
    </w:p>
    <w:p w:rsidR="002D65E0" w:rsidRDefault="002D65E0">
      <w:pPr>
        <w:rPr>
          <w:rFonts w:ascii="Verdana" w:hAnsi="Verdana" w:cs="Verdana"/>
          <w:color w:val="000000"/>
          <w:sz w:val="24"/>
          <w:szCs w:val="24"/>
          <w:shd w:val="clear" w:color="auto" w:fill="FFFFFF"/>
        </w:rPr>
      </w:pPr>
    </w:p>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t>表三：</w:t>
      </w:r>
      <w:r>
        <w:rPr>
          <w:rFonts w:ascii="Verdana" w:hAnsi="Verdana" w:cs="Verdana"/>
          <w:color w:val="000000"/>
          <w:shd w:val="clear" w:color="auto" w:fill="FFFFFF"/>
        </w:rPr>
        <w:t>2014</w:t>
      </w:r>
      <w:r>
        <w:rPr>
          <w:rFonts w:ascii="Verdana" w:hAnsi="Verdana" w:cs="宋体" w:hint="eastAsia"/>
          <w:color w:val="000000"/>
          <w:shd w:val="clear" w:color="auto" w:fill="FFFFFF"/>
        </w:rPr>
        <w:t>年Ｋ电器厂部分工资及岗位类别</w:t>
      </w:r>
    </w:p>
    <w:tbl>
      <w:tblPr>
        <w:tblW w:w="6392" w:type="dxa"/>
        <w:jc w:val="center"/>
        <w:tblBorders>
          <w:top w:val="single" w:sz="12" w:space="0" w:color="000000"/>
          <w:bottom w:val="single" w:sz="12" w:space="0" w:color="000000"/>
          <w:insideH w:val="single" w:sz="6" w:space="0" w:color="000000"/>
        </w:tblBorders>
        <w:tblLayout w:type="fixed"/>
        <w:tblLook w:val="04A0" w:firstRow="1" w:lastRow="0" w:firstColumn="1" w:lastColumn="0" w:noHBand="0" w:noVBand="1"/>
      </w:tblPr>
      <w:tblGrid>
        <w:gridCol w:w="1337"/>
        <w:gridCol w:w="2316"/>
        <w:gridCol w:w="2739"/>
      </w:tblGrid>
      <w:tr w:rsidR="002D65E0">
        <w:trPr>
          <w:trHeight w:val="284"/>
          <w:jc w:val="center"/>
        </w:trPr>
        <w:tc>
          <w:tcPr>
            <w:tcW w:w="1337" w:type="dxa"/>
            <w:tcBorders>
              <w:top w:val="single" w:sz="12" w:space="0" w:color="000000"/>
              <w:bottom w:val="single" w:sz="12" w:space="0" w:color="000000"/>
            </w:tcBorders>
          </w:tcPr>
          <w:p w:rsidR="002D65E0" w:rsidRDefault="004D1EF8">
            <w:pPr>
              <w:jc w:val="center"/>
              <w:rPr>
                <w:rFonts w:ascii="Verdana" w:hAnsi="Verdana" w:cs="Verdana"/>
                <w:b/>
                <w:bCs/>
                <w:color w:val="000000"/>
                <w:shd w:val="clear" w:color="auto" w:fill="FFFFFF"/>
              </w:rPr>
            </w:pPr>
            <w:r>
              <w:rPr>
                <w:rFonts w:ascii="Verdana" w:hAnsi="Verdana" w:cs="宋体" w:hint="eastAsia"/>
                <w:b/>
                <w:bCs/>
                <w:color w:val="000000"/>
                <w:shd w:val="clear" w:color="auto" w:fill="FFFFFF"/>
              </w:rPr>
              <w:t>工资等级</w:t>
            </w:r>
          </w:p>
        </w:tc>
        <w:tc>
          <w:tcPr>
            <w:tcW w:w="2316" w:type="dxa"/>
            <w:tcBorders>
              <w:top w:val="single" w:sz="12" w:space="0" w:color="000000"/>
              <w:bottom w:val="single" w:sz="12" w:space="0" w:color="000000"/>
            </w:tcBorders>
          </w:tcPr>
          <w:p w:rsidR="002D65E0" w:rsidRDefault="004D1EF8">
            <w:pPr>
              <w:jc w:val="center"/>
              <w:rPr>
                <w:rFonts w:ascii="Verdana" w:hAnsi="Verdana" w:cs="Verdana"/>
                <w:b/>
                <w:bCs/>
                <w:color w:val="000000"/>
                <w:shd w:val="clear" w:color="auto" w:fill="FFFFFF"/>
              </w:rPr>
            </w:pPr>
            <w:r>
              <w:rPr>
                <w:rFonts w:ascii="Verdana" w:hAnsi="Verdana" w:cs="宋体" w:hint="eastAsia"/>
                <w:b/>
                <w:bCs/>
                <w:color w:val="000000"/>
                <w:shd w:val="clear" w:color="auto" w:fill="FFFFFF"/>
              </w:rPr>
              <w:t>工种</w:t>
            </w:r>
          </w:p>
        </w:tc>
        <w:tc>
          <w:tcPr>
            <w:tcW w:w="2739" w:type="dxa"/>
            <w:tcBorders>
              <w:top w:val="single" w:sz="12" w:space="0" w:color="000000"/>
              <w:bottom w:val="single" w:sz="12" w:space="0" w:color="000000"/>
            </w:tcBorders>
          </w:tcPr>
          <w:p w:rsidR="002D65E0" w:rsidRDefault="004D1EF8">
            <w:pPr>
              <w:jc w:val="center"/>
              <w:rPr>
                <w:rFonts w:ascii="Verdana" w:hAnsi="Verdana" w:cs="Verdana"/>
                <w:b/>
                <w:bCs/>
                <w:color w:val="000000"/>
                <w:shd w:val="clear" w:color="auto" w:fill="FFFFFF"/>
              </w:rPr>
            </w:pPr>
            <w:r>
              <w:rPr>
                <w:rFonts w:ascii="Verdana" w:hAnsi="Verdana" w:cs="宋体" w:hint="eastAsia"/>
                <w:b/>
                <w:bCs/>
                <w:color w:val="000000"/>
                <w:shd w:val="clear" w:color="auto" w:fill="FFFFFF"/>
              </w:rPr>
              <w:t>工资率（小时工资）（元）</w:t>
            </w:r>
          </w:p>
        </w:tc>
      </w:tr>
      <w:tr w:rsidR="002D65E0">
        <w:trPr>
          <w:trHeight w:val="270"/>
          <w:jc w:val="center"/>
        </w:trPr>
        <w:tc>
          <w:tcPr>
            <w:tcW w:w="1337"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1</w:t>
            </w:r>
          </w:p>
        </w:tc>
        <w:tc>
          <w:tcPr>
            <w:tcW w:w="2316" w:type="dxa"/>
          </w:tcPr>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t>仓库保管员</w:t>
            </w:r>
          </w:p>
        </w:tc>
        <w:tc>
          <w:tcPr>
            <w:tcW w:w="2739"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8.65</w:t>
            </w:r>
          </w:p>
        </w:tc>
      </w:tr>
      <w:tr w:rsidR="002D65E0">
        <w:trPr>
          <w:trHeight w:val="284"/>
          <w:jc w:val="center"/>
        </w:trPr>
        <w:tc>
          <w:tcPr>
            <w:tcW w:w="1337"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2</w:t>
            </w:r>
          </w:p>
        </w:tc>
        <w:tc>
          <w:tcPr>
            <w:tcW w:w="2316" w:type="dxa"/>
          </w:tcPr>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t>包装工</w:t>
            </w:r>
          </w:p>
        </w:tc>
        <w:tc>
          <w:tcPr>
            <w:tcW w:w="2739"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9.15</w:t>
            </w:r>
          </w:p>
        </w:tc>
      </w:tr>
      <w:tr w:rsidR="002D65E0">
        <w:trPr>
          <w:trHeight w:val="270"/>
          <w:jc w:val="center"/>
        </w:trPr>
        <w:tc>
          <w:tcPr>
            <w:tcW w:w="1337"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3</w:t>
            </w:r>
          </w:p>
        </w:tc>
        <w:tc>
          <w:tcPr>
            <w:tcW w:w="2316" w:type="dxa"/>
          </w:tcPr>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t>备料工</w:t>
            </w:r>
          </w:p>
        </w:tc>
        <w:tc>
          <w:tcPr>
            <w:tcW w:w="2739"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10.50</w:t>
            </w:r>
          </w:p>
        </w:tc>
      </w:tr>
      <w:tr w:rsidR="002D65E0">
        <w:trPr>
          <w:trHeight w:val="270"/>
          <w:jc w:val="center"/>
        </w:trPr>
        <w:tc>
          <w:tcPr>
            <w:tcW w:w="1337" w:type="dxa"/>
          </w:tcPr>
          <w:p w:rsidR="002D65E0" w:rsidRDefault="002D65E0">
            <w:pPr>
              <w:jc w:val="center"/>
              <w:rPr>
                <w:rFonts w:ascii="Verdana" w:hAnsi="Verdana" w:cs="Verdana"/>
                <w:color w:val="000000"/>
                <w:shd w:val="clear" w:color="auto" w:fill="FFFFFF"/>
              </w:rPr>
            </w:pPr>
          </w:p>
        </w:tc>
        <w:tc>
          <w:tcPr>
            <w:tcW w:w="2316" w:type="dxa"/>
          </w:tcPr>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t>维修工</w:t>
            </w:r>
            <w:r>
              <w:rPr>
                <w:rFonts w:ascii="Verdana" w:hAnsi="Verdana" w:cs="Verdana"/>
                <w:color w:val="000000"/>
                <w:shd w:val="clear" w:color="auto" w:fill="FFFFFF"/>
              </w:rPr>
              <w:t>B</w:t>
            </w:r>
          </w:p>
        </w:tc>
        <w:tc>
          <w:tcPr>
            <w:tcW w:w="2739"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10.75</w:t>
            </w:r>
          </w:p>
        </w:tc>
      </w:tr>
      <w:tr w:rsidR="002D65E0">
        <w:trPr>
          <w:trHeight w:val="270"/>
          <w:jc w:val="center"/>
        </w:trPr>
        <w:tc>
          <w:tcPr>
            <w:tcW w:w="1337" w:type="dxa"/>
          </w:tcPr>
          <w:p w:rsidR="002D65E0" w:rsidRDefault="002D65E0">
            <w:pPr>
              <w:jc w:val="center"/>
              <w:rPr>
                <w:rFonts w:ascii="Verdana" w:hAnsi="Verdana" w:cs="Verdana"/>
                <w:color w:val="000000"/>
                <w:shd w:val="clear" w:color="auto" w:fill="FFFFFF"/>
              </w:rPr>
            </w:pPr>
          </w:p>
        </w:tc>
        <w:tc>
          <w:tcPr>
            <w:tcW w:w="2316" w:type="dxa"/>
          </w:tcPr>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t>组装工</w:t>
            </w:r>
          </w:p>
        </w:tc>
        <w:tc>
          <w:tcPr>
            <w:tcW w:w="2739"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10.80</w:t>
            </w:r>
          </w:p>
        </w:tc>
      </w:tr>
      <w:tr w:rsidR="002D65E0">
        <w:trPr>
          <w:trHeight w:val="284"/>
          <w:jc w:val="center"/>
        </w:trPr>
        <w:tc>
          <w:tcPr>
            <w:tcW w:w="1337"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4</w:t>
            </w:r>
          </w:p>
        </w:tc>
        <w:tc>
          <w:tcPr>
            <w:tcW w:w="2316" w:type="dxa"/>
          </w:tcPr>
          <w:p w:rsidR="002D65E0" w:rsidRDefault="004D1EF8">
            <w:pPr>
              <w:jc w:val="center"/>
              <w:rPr>
                <w:rFonts w:ascii="Verdana" w:hAnsi="Verdana" w:cs="Verdana"/>
                <w:color w:val="000000"/>
                <w:shd w:val="clear" w:color="auto" w:fill="FFFFFF"/>
              </w:rPr>
            </w:pPr>
            <w:proofErr w:type="gramStart"/>
            <w:r>
              <w:rPr>
                <w:rFonts w:ascii="Verdana" w:hAnsi="Verdana" w:cs="宋体" w:hint="eastAsia"/>
                <w:color w:val="000000"/>
                <w:shd w:val="clear" w:color="auto" w:fill="FFFFFF"/>
              </w:rPr>
              <w:t>全能工</w:t>
            </w:r>
            <w:proofErr w:type="gramEnd"/>
          </w:p>
        </w:tc>
        <w:tc>
          <w:tcPr>
            <w:tcW w:w="2739"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11.24</w:t>
            </w:r>
          </w:p>
        </w:tc>
      </w:tr>
      <w:tr w:rsidR="002D65E0">
        <w:trPr>
          <w:trHeight w:val="270"/>
          <w:jc w:val="center"/>
        </w:trPr>
        <w:tc>
          <w:tcPr>
            <w:tcW w:w="1337" w:type="dxa"/>
          </w:tcPr>
          <w:p w:rsidR="002D65E0" w:rsidRDefault="002D65E0">
            <w:pPr>
              <w:jc w:val="center"/>
              <w:rPr>
                <w:rFonts w:ascii="Verdana" w:hAnsi="Verdana" w:cs="Verdana"/>
                <w:color w:val="000000"/>
                <w:shd w:val="clear" w:color="auto" w:fill="FFFFFF"/>
              </w:rPr>
            </w:pPr>
          </w:p>
        </w:tc>
        <w:tc>
          <w:tcPr>
            <w:tcW w:w="2316" w:type="dxa"/>
          </w:tcPr>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t>流水线工人</w:t>
            </w:r>
          </w:p>
        </w:tc>
        <w:tc>
          <w:tcPr>
            <w:tcW w:w="2739"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11.60</w:t>
            </w:r>
          </w:p>
        </w:tc>
      </w:tr>
      <w:tr w:rsidR="002D65E0">
        <w:trPr>
          <w:trHeight w:val="284"/>
          <w:jc w:val="center"/>
        </w:trPr>
        <w:tc>
          <w:tcPr>
            <w:tcW w:w="1337"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5</w:t>
            </w:r>
          </w:p>
        </w:tc>
        <w:tc>
          <w:tcPr>
            <w:tcW w:w="2316" w:type="dxa"/>
          </w:tcPr>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t>焊接工</w:t>
            </w:r>
          </w:p>
        </w:tc>
        <w:tc>
          <w:tcPr>
            <w:tcW w:w="2739"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13.34</w:t>
            </w:r>
          </w:p>
        </w:tc>
      </w:tr>
      <w:tr w:rsidR="002D65E0">
        <w:trPr>
          <w:trHeight w:val="270"/>
          <w:jc w:val="center"/>
        </w:trPr>
        <w:tc>
          <w:tcPr>
            <w:tcW w:w="1337" w:type="dxa"/>
          </w:tcPr>
          <w:p w:rsidR="002D65E0" w:rsidRDefault="002D65E0">
            <w:pPr>
              <w:jc w:val="center"/>
              <w:rPr>
                <w:rFonts w:ascii="Verdana" w:hAnsi="Verdana" w:cs="Verdana"/>
                <w:color w:val="000000"/>
                <w:shd w:val="clear" w:color="auto" w:fill="FFFFFF"/>
              </w:rPr>
            </w:pPr>
          </w:p>
        </w:tc>
        <w:tc>
          <w:tcPr>
            <w:tcW w:w="2316" w:type="dxa"/>
          </w:tcPr>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t>技师</w:t>
            </w:r>
            <w:r>
              <w:rPr>
                <w:rFonts w:ascii="Verdana" w:hAnsi="Verdana" w:cs="Verdana"/>
                <w:color w:val="000000"/>
                <w:shd w:val="clear" w:color="auto" w:fill="FFFFFF"/>
              </w:rPr>
              <w:t>B</w:t>
            </w:r>
          </w:p>
        </w:tc>
        <w:tc>
          <w:tcPr>
            <w:tcW w:w="2739"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13.35</w:t>
            </w:r>
          </w:p>
        </w:tc>
      </w:tr>
      <w:tr w:rsidR="002D65E0">
        <w:trPr>
          <w:trHeight w:val="270"/>
          <w:jc w:val="center"/>
        </w:trPr>
        <w:tc>
          <w:tcPr>
            <w:tcW w:w="1337" w:type="dxa"/>
          </w:tcPr>
          <w:p w:rsidR="002D65E0" w:rsidRDefault="002D65E0">
            <w:pPr>
              <w:jc w:val="center"/>
              <w:rPr>
                <w:rFonts w:ascii="Verdana" w:hAnsi="Verdana" w:cs="Verdana"/>
                <w:color w:val="000000"/>
                <w:shd w:val="clear" w:color="auto" w:fill="FFFFFF"/>
              </w:rPr>
            </w:pPr>
          </w:p>
        </w:tc>
        <w:tc>
          <w:tcPr>
            <w:tcW w:w="2316" w:type="dxa"/>
          </w:tcPr>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t>销售员</w:t>
            </w:r>
          </w:p>
        </w:tc>
        <w:tc>
          <w:tcPr>
            <w:tcW w:w="2739"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14.55</w:t>
            </w:r>
          </w:p>
        </w:tc>
      </w:tr>
      <w:tr w:rsidR="002D65E0">
        <w:trPr>
          <w:trHeight w:val="270"/>
          <w:jc w:val="center"/>
        </w:trPr>
        <w:tc>
          <w:tcPr>
            <w:tcW w:w="1337"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6</w:t>
            </w:r>
          </w:p>
        </w:tc>
        <w:tc>
          <w:tcPr>
            <w:tcW w:w="2316" w:type="dxa"/>
          </w:tcPr>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t>维修工</w:t>
            </w:r>
            <w:r>
              <w:rPr>
                <w:rFonts w:ascii="Verdana" w:hAnsi="Verdana" w:cs="Verdana"/>
                <w:color w:val="000000"/>
                <w:shd w:val="clear" w:color="auto" w:fill="FFFFFF"/>
              </w:rPr>
              <w:t>A</w:t>
            </w:r>
          </w:p>
        </w:tc>
        <w:tc>
          <w:tcPr>
            <w:tcW w:w="2739"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15.40</w:t>
            </w:r>
          </w:p>
        </w:tc>
      </w:tr>
      <w:tr w:rsidR="002D65E0">
        <w:trPr>
          <w:trHeight w:val="284"/>
          <w:jc w:val="center"/>
        </w:trPr>
        <w:tc>
          <w:tcPr>
            <w:tcW w:w="1337" w:type="dxa"/>
          </w:tcPr>
          <w:p w:rsidR="002D65E0" w:rsidRDefault="002D65E0">
            <w:pPr>
              <w:jc w:val="center"/>
              <w:rPr>
                <w:rFonts w:ascii="Verdana" w:hAnsi="Verdana" w:cs="Verdana"/>
                <w:color w:val="000000"/>
                <w:shd w:val="clear" w:color="auto" w:fill="FFFFFF"/>
              </w:rPr>
            </w:pPr>
          </w:p>
        </w:tc>
        <w:tc>
          <w:tcPr>
            <w:tcW w:w="2316" w:type="dxa"/>
          </w:tcPr>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t>机械修理师</w:t>
            </w:r>
          </w:p>
        </w:tc>
        <w:tc>
          <w:tcPr>
            <w:tcW w:w="2739"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15.45</w:t>
            </w:r>
          </w:p>
        </w:tc>
      </w:tr>
      <w:tr w:rsidR="002D65E0">
        <w:trPr>
          <w:trHeight w:val="270"/>
          <w:jc w:val="center"/>
        </w:trPr>
        <w:tc>
          <w:tcPr>
            <w:tcW w:w="1337"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7</w:t>
            </w:r>
          </w:p>
        </w:tc>
        <w:tc>
          <w:tcPr>
            <w:tcW w:w="2316" w:type="dxa"/>
          </w:tcPr>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t>巡检</w:t>
            </w:r>
          </w:p>
        </w:tc>
        <w:tc>
          <w:tcPr>
            <w:tcW w:w="2739"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15.90</w:t>
            </w:r>
          </w:p>
        </w:tc>
      </w:tr>
      <w:tr w:rsidR="002D65E0">
        <w:trPr>
          <w:trHeight w:val="270"/>
          <w:jc w:val="center"/>
        </w:trPr>
        <w:tc>
          <w:tcPr>
            <w:tcW w:w="1337" w:type="dxa"/>
          </w:tcPr>
          <w:p w:rsidR="002D65E0" w:rsidRDefault="002D65E0">
            <w:pPr>
              <w:jc w:val="center"/>
              <w:rPr>
                <w:rFonts w:ascii="Verdana" w:hAnsi="Verdana" w:cs="Verdana"/>
                <w:color w:val="000000"/>
                <w:shd w:val="clear" w:color="auto" w:fill="FFFFFF"/>
              </w:rPr>
            </w:pPr>
          </w:p>
        </w:tc>
        <w:tc>
          <w:tcPr>
            <w:tcW w:w="2316" w:type="dxa"/>
          </w:tcPr>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t>技师</w:t>
            </w:r>
            <w:r>
              <w:rPr>
                <w:rFonts w:ascii="Verdana" w:hAnsi="Verdana" w:cs="Verdana"/>
                <w:color w:val="000000"/>
                <w:shd w:val="clear" w:color="auto" w:fill="FFFFFF"/>
              </w:rPr>
              <w:t>A</w:t>
            </w:r>
          </w:p>
        </w:tc>
        <w:tc>
          <w:tcPr>
            <w:tcW w:w="2739" w:type="dxa"/>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17.50</w:t>
            </w:r>
          </w:p>
        </w:tc>
      </w:tr>
      <w:tr w:rsidR="002D65E0">
        <w:trPr>
          <w:trHeight w:val="284"/>
          <w:jc w:val="center"/>
        </w:trPr>
        <w:tc>
          <w:tcPr>
            <w:tcW w:w="1337" w:type="dxa"/>
            <w:tcBorders>
              <w:bottom w:val="single" w:sz="12" w:space="0" w:color="000000"/>
            </w:tcBorders>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9</w:t>
            </w:r>
          </w:p>
        </w:tc>
        <w:tc>
          <w:tcPr>
            <w:tcW w:w="2316" w:type="dxa"/>
            <w:tcBorders>
              <w:bottom w:val="single" w:sz="12" w:space="0" w:color="000000"/>
            </w:tcBorders>
          </w:tcPr>
          <w:p w:rsidR="002D65E0" w:rsidRDefault="004D1EF8">
            <w:pPr>
              <w:jc w:val="center"/>
              <w:rPr>
                <w:rFonts w:ascii="Verdana" w:hAnsi="Verdana" w:cs="Verdana"/>
                <w:color w:val="000000"/>
                <w:shd w:val="clear" w:color="auto" w:fill="FFFFFF"/>
              </w:rPr>
            </w:pPr>
            <w:r>
              <w:rPr>
                <w:rFonts w:ascii="Verdana" w:hAnsi="Verdana" w:cs="宋体" w:hint="eastAsia"/>
                <w:color w:val="000000"/>
                <w:shd w:val="clear" w:color="auto" w:fill="FFFFFF"/>
              </w:rPr>
              <w:t>领班</w:t>
            </w:r>
          </w:p>
        </w:tc>
        <w:tc>
          <w:tcPr>
            <w:tcW w:w="2739" w:type="dxa"/>
            <w:tcBorders>
              <w:bottom w:val="single" w:sz="12" w:space="0" w:color="000000"/>
            </w:tcBorders>
          </w:tcPr>
          <w:p w:rsidR="002D65E0" w:rsidRDefault="004D1EF8">
            <w:pPr>
              <w:jc w:val="center"/>
              <w:rPr>
                <w:rFonts w:ascii="Verdana" w:hAnsi="Verdana" w:cs="Verdana"/>
                <w:color w:val="000000"/>
                <w:shd w:val="clear" w:color="auto" w:fill="FFFFFF"/>
              </w:rPr>
            </w:pPr>
            <w:r>
              <w:rPr>
                <w:rFonts w:ascii="Verdana" w:hAnsi="Verdana" w:cs="Verdana"/>
                <w:color w:val="000000"/>
                <w:shd w:val="clear" w:color="auto" w:fill="FFFFFF"/>
              </w:rPr>
              <w:t>18.65</w:t>
            </w:r>
          </w:p>
        </w:tc>
      </w:tr>
    </w:tbl>
    <w:p w:rsidR="002D65E0" w:rsidRDefault="002D65E0" w:rsidP="00422B90">
      <w:pPr>
        <w:spacing w:line="400" w:lineRule="exact"/>
        <w:ind w:firstLineChars="200" w:firstLine="720"/>
        <w:rPr>
          <w:sz w:val="36"/>
          <w:szCs w:val="36"/>
        </w:rPr>
      </w:pPr>
    </w:p>
    <w:p w:rsidR="002D65E0" w:rsidRPr="00666B94" w:rsidRDefault="004D1EF8" w:rsidP="00666B94">
      <w:pPr>
        <w:spacing w:line="400" w:lineRule="exact"/>
        <w:ind w:firstLineChars="200" w:firstLine="420"/>
        <w:rPr>
          <w:color w:val="000000" w:themeColor="text1"/>
        </w:rPr>
      </w:pPr>
      <w:r w:rsidRPr="00666B94">
        <w:rPr>
          <w:rFonts w:cs="宋体" w:hint="eastAsia"/>
          <w:color w:val="000000" w:themeColor="text1"/>
        </w:rPr>
        <w:t>注：缺失信息（如物价、行业工资、地区工资等）请自行搜集（如通过统计年鉴，地方人力资源和社会保障部门网站等），引用自行搜集数</w:t>
      </w:r>
      <w:bookmarkStart w:id="0" w:name="_GoBack"/>
      <w:bookmarkEnd w:id="0"/>
      <w:r w:rsidRPr="00666B94">
        <w:rPr>
          <w:rFonts w:cs="宋体" w:hint="eastAsia"/>
          <w:color w:val="000000" w:themeColor="text1"/>
        </w:rPr>
        <w:t>据必须</w:t>
      </w:r>
      <w:r w:rsidRPr="00666B94">
        <w:rPr>
          <w:rFonts w:cs="宋体" w:hint="eastAsia"/>
          <w:bCs/>
          <w:color w:val="000000" w:themeColor="text1"/>
        </w:rPr>
        <w:t>以脚注方式</w:t>
      </w:r>
      <w:r w:rsidRPr="00666B94">
        <w:rPr>
          <w:rFonts w:cs="宋体" w:hint="eastAsia"/>
          <w:color w:val="000000" w:themeColor="text1"/>
        </w:rPr>
        <w:t>标明信息来源！</w:t>
      </w:r>
    </w:p>
    <w:sectPr w:rsidR="002D65E0" w:rsidRPr="00666B94">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23B2" w:rsidRDefault="00D823B2">
      <w:r>
        <w:separator/>
      </w:r>
    </w:p>
  </w:endnote>
  <w:endnote w:type="continuationSeparator" w:id="0">
    <w:p w:rsidR="00D823B2" w:rsidRDefault="00D82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5E0" w:rsidRDefault="004D1EF8">
    <w:pPr>
      <w:pStyle w:val="a3"/>
      <w:jc w:val="center"/>
      <w:rPr>
        <w:rFonts w:cs="Times New Roman"/>
      </w:rPr>
    </w:pPr>
    <w:r>
      <w:fldChar w:fldCharType="begin"/>
    </w:r>
    <w:r>
      <w:instrText>PAGE   \* MERGEFORMAT</w:instrText>
    </w:r>
    <w:r>
      <w:fldChar w:fldCharType="separate"/>
    </w:r>
    <w:r w:rsidR="00666B94" w:rsidRPr="00666B94">
      <w:rPr>
        <w:noProof/>
        <w:lang w:val="zh-CN"/>
      </w:rPr>
      <w:t>1</w:t>
    </w:r>
    <w:r>
      <w:rPr>
        <w:lang w:val="zh-CN"/>
      </w:rPr>
      <w:fldChar w:fldCharType="end"/>
    </w:r>
  </w:p>
  <w:p w:rsidR="002D65E0" w:rsidRDefault="002D65E0">
    <w:pPr>
      <w:pStyle w:val="a3"/>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23B2" w:rsidRDefault="00D823B2">
      <w:r>
        <w:separator/>
      </w:r>
    </w:p>
  </w:footnote>
  <w:footnote w:type="continuationSeparator" w:id="0">
    <w:p w:rsidR="00D823B2" w:rsidRDefault="00D823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2A50BD"/>
    <w:multiLevelType w:val="multilevel"/>
    <w:tmpl w:val="1B2A50BD"/>
    <w:lvl w:ilvl="0" w:tentative="1">
      <w:start w:val="1"/>
      <w:numFmt w:val="decimal"/>
      <w:lvlText w:val="%1."/>
      <w:lvlJc w:val="left"/>
      <w:pPr>
        <w:ind w:left="360" w:hanging="360"/>
      </w:pPr>
    </w:lvl>
    <w:lvl w:ilvl="1" w:tentative="1">
      <w:start w:val="1"/>
      <w:numFmt w:val="decimal"/>
      <w:pStyle w:val="Report"/>
      <w:lvlText w:val="%1.%2."/>
      <w:lvlJc w:val="left"/>
      <w:pPr>
        <w:ind w:left="792" w:hanging="432"/>
      </w:pPr>
    </w:lvl>
    <w:lvl w:ilvl="2" w:tentative="1">
      <w:start w:val="1"/>
      <w:numFmt w:val="decimal"/>
      <w:lvlText w:val="%1.%2.%3."/>
      <w:lvlJc w:val="left"/>
      <w:pPr>
        <w:ind w:left="1224" w:hanging="504"/>
      </w:pPr>
    </w:lvl>
    <w:lvl w:ilvl="3" w:tentative="1">
      <w:start w:val="1"/>
      <w:numFmt w:val="decimal"/>
      <w:lvlText w:val="%1.%2.%3.%4."/>
      <w:lvlJc w:val="left"/>
      <w:pPr>
        <w:ind w:left="1728" w:hanging="648"/>
      </w:pPr>
    </w:lvl>
    <w:lvl w:ilvl="4" w:tentative="1">
      <w:start w:val="1"/>
      <w:numFmt w:val="decimal"/>
      <w:lvlText w:val="%1.%2.%3.%4.%5."/>
      <w:lvlJc w:val="left"/>
      <w:pPr>
        <w:ind w:left="2232" w:hanging="792"/>
      </w:pPr>
    </w:lvl>
    <w:lvl w:ilvl="5" w:tentative="1">
      <w:start w:val="1"/>
      <w:numFmt w:val="decimal"/>
      <w:lvlText w:val="%1.%2.%3.%4.%5.%6."/>
      <w:lvlJc w:val="left"/>
      <w:pPr>
        <w:ind w:left="2736" w:hanging="936"/>
      </w:pPr>
    </w:lvl>
    <w:lvl w:ilvl="6" w:tentative="1">
      <w:start w:val="1"/>
      <w:numFmt w:val="decimal"/>
      <w:lvlText w:val="%1.%2.%3.%4.%5.%6.%7."/>
      <w:lvlJc w:val="left"/>
      <w:pPr>
        <w:ind w:left="3240" w:hanging="1080"/>
      </w:pPr>
    </w:lvl>
    <w:lvl w:ilvl="7" w:tentative="1">
      <w:start w:val="1"/>
      <w:numFmt w:val="decimal"/>
      <w:lvlText w:val="%1.%2.%3.%4.%5.%6.%7.%8."/>
      <w:lvlJc w:val="left"/>
      <w:pPr>
        <w:ind w:left="3744" w:hanging="1224"/>
      </w:pPr>
    </w:lvl>
    <w:lvl w:ilvl="8" w:tentative="1">
      <w:start w:val="1"/>
      <w:numFmt w:val="decimal"/>
      <w:lvlText w:val="%1.%2.%3.%4.%5.%6.%7.%8.%9."/>
      <w:lvlJc w:val="left"/>
      <w:pPr>
        <w:ind w:left="4320" w:hanging="1440"/>
      </w:pPr>
    </w:lvl>
  </w:abstractNum>
  <w:abstractNum w:abstractNumId="1">
    <w:nsid w:val="27E715CA"/>
    <w:multiLevelType w:val="multilevel"/>
    <w:tmpl w:val="27E715CA"/>
    <w:lvl w:ilvl="0" w:tentative="1">
      <w:start w:val="1"/>
      <w:numFmt w:val="decimal"/>
      <w:pStyle w:val="1"/>
      <w:suff w:val="space"/>
      <w:lvlText w:val="Chapter %1"/>
      <w:lvlJc w:val="left"/>
      <w:rPr>
        <w:rFonts w:ascii="Times New Roman" w:hAnsi="Times New Roman" w:hint="default"/>
        <w:b/>
        <w:bCs/>
        <w:i w:val="0"/>
        <w:iCs w:val="0"/>
        <w:sz w:val="28"/>
        <w:szCs w:val="28"/>
      </w:rPr>
    </w:lvl>
    <w:lvl w:ilvl="1" w:tentative="1">
      <w:start w:val="1"/>
      <w:numFmt w:val="decimal"/>
      <w:lvlText w:val="%1.%2"/>
      <w:lvlJc w:val="left"/>
      <w:pPr>
        <w:tabs>
          <w:tab w:val="left" w:pos="576"/>
        </w:tabs>
        <w:ind w:left="576" w:hanging="576"/>
      </w:pPr>
      <w:rPr>
        <w:rFonts w:ascii="Times New Roman" w:hAnsi="Times New Roman" w:hint="default"/>
        <w:b/>
        <w:bCs/>
        <w:i w:val="0"/>
        <w:iCs w:val="0"/>
        <w:sz w:val="24"/>
        <w:szCs w:val="24"/>
      </w:rPr>
    </w:lvl>
    <w:lvl w:ilvl="2" w:tentative="1">
      <w:start w:val="1"/>
      <w:numFmt w:val="decimal"/>
      <w:pStyle w:val="3"/>
      <w:lvlText w:val="%1.%2.%3"/>
      <w:lvlJc w:val="left"/>
      <w:pPr>
        <w:tabs>
          <w:tab w:val="left" w:pos="720"/>
        </w:tabs>
        <w:ind w:left="720" w:hanging="720"/>
      </w:pPr>
      <w:rPr>
        <w:rFonts w:hint="default"/>
        <w:b w:val="0"/>
        <w:bCs w:val="0"/>
        <w:i w:val="0"/>
        <w:iCs w:val="0"/>
        <w:color w:val="auto"/>
        <w:sz w:val="24"/>
        <w:szCs w:val="24"/>
      </w:rPr>
    </w:lvl>
    <w:lvl w:ilvl="3" w:tentative="1">
      <w:start w:val="1"/>
      <w:numFmt w:val="decimal"/>
      <w:pStyle w:val="4"/>
      <w:lvlText w:val="%1.%2.%3.%4"/>
      <w:lvlJc w:val="left"/>
      <w:pPr>
        <w:tabs>
          <w:tab w:val="left" w:pos="864"/>
        </w:tabs>
        <w:ind w:left="864" w:hanging="864"/>
      </w:pPr>
      <w:rPr>
        <w:rFonts w:hint="eastAsia"/>
      </w:rPr>
    </w:lvl>
    <w:lvl w:ilvl="4" w:tentative="1">
      <w:start w:val="1"/>
      <w:numFmt w:val="decimal"/>
      <w:lvlText w:val="%1.%2.%3.%4.%5"/>
      <w:lvlJc w:val="left"/>
      <w:pPr>
        <w:tabs>
          <w:tab w:val="left" w:pos="1008"/>
        </w:tabs>
        <w:ind w:left="1008" w:hanging="1008"/>
      </w:pPr>
      <w:rPr>
        <w:rFonts w:hint="eastAsia"/>
      </w:rPr>
    </w:lvl>
    <w:lvl w:ilvl="5" w:tentative="1">
      <w:start w:val="1"/>
      <w:numFmt w:val="decimal"/>
      <w:lvlText w:val="%1.%2.%3.%4.%5.%6"/>
      <w:lvlJc w:val="left"/>
      <w:pPr>
        <w:tabs>
          <w:tab w:val="left" w:pos="1152"/>
        </w:tabs>
        <w:ind w:left="1152" w:hanging="1152"/>
      </w:pPr>
      <w:rPr>
        <w:rFonts w:hint="eastAsia"/>
      </w:rPr>
    </w:lvl>
    <w:lvl w:ilvl="6" w:tentative="1">
      <w:start w:val="1"/>
      <w:numFmt w:val="decimal"/>
      <w:lvlText w:val="%1.%2.%3.%4.%5.%6.%7"/>
      <w:lvlJc w:val="left"/>
      <w:pPr>
        <w:tabs>
          <w:tab w:val="left" w:pos="1296"/>
        </w:tabs>
        <w:ind w:left="1296" w:hanging="1296"/>
      </w:pPr>
      <w:rPr>
        <w:rFonts w:hint="eastAsia"/>
      </w:rPr>
    </w:lvl>
    <w:lvl w:ilvl="7" w:tentative="1">
      <w:start w:val="1"/>
      <w:numFmt w:val="decimal"/>
      <w:lvlText w:val="%1.%2.%3.%4.%5.%6.%7.%8"/>
      <w:lvlJc w:val="left"/>
      <w:pPr>
        <w:tabs>
          <w:tab w:val="left" w:pos="1440"/>
        </w:tabs>
        <w:ind w:left="1440" w:hanging="1440"/>
      </w:pPr>
      <w:rPr>
        <w:rFonts w:hint="eastAsia"/>
      </w:rPr>
    </w:lvl>
    <w:lvl w:ilvl="8" w:tentative="1">
      <w:start w:val="1"/>
      <w:numFmt w:val="decimal"/>
      <w:lvlText w:val="%1.%2.%3.%4.%5.%6.%7.%8.%9"/>
      <w:lvlJc w:val="left"/>
      <w:pPr>
        <w:tabs>
          <w:tab w:val="left" w:pos="1584"/>
        </w:tabs>
        <w:ind w:left="1584" w:hanging="1584"/>
      </w:pPr>
      <w:rPr>
        <w:rFonts w:hint="eastAsia"/>
      </w:rPr>
    </w:lvl>
  </w:abstractNum>
  <w:abstractNum w:abstractNumId="2">
    <w:nsid w:val="70EB2BAB"/>
    <w:multiLevelType w:val="multilevel"/>
    <w:tmpl w:val="70EB2BAB"/>
    <w:lvl w:ilvl="0" w:tentative="1">
      <w:start w:val="2"/>
      <w:numFmt w:val="decimal"/>
      <w:suff w:val="space"/>
      <w:lvlText w:val="Chapter %1"/>
      <w:lvlJc w:val="left"/>
      <w:rPr>
        <w:rFonts w:hint="eastAsia"/>
        <w:b/>
        <w:bCs/>
        <w:i w:val="0"/>
        <w:iCs w:val="0"/>
        <w:sz w:val="24"/>
        <w:szCs w:val="24"/>
      </w:rPr>
    </w:lvl>
    <w:lvl w:ilvl="1" w:tentative="1">
      <w:start w:val="1"/>
      <w:numFmt w:val="decimal"/>
      <w:pStyle w:val="2"/>
      <w:lvlText w:val="%1.%2"/>
      <w:lvlJc w:val="left"/>
      <w:pPr>
        <w:tabs>
          <w:tab w:val="left" w:pos="576"/>
        </w:tabs>
        <w:ind w:left="576" w:hanging="576"/>
      </w:pPr>
      <w:rPr>
        <w:rFonts w:hint="default"/>
        <w:b/>
        <w:bCs/>
        <w:i w:val="0"/>
        <w:iCs w:val="0"/>
        <w:sz w:val="24"/>
        <w:szCs w:val="24"/>
      </w:rPr>
    </w:lvl>
    <w:lvl w:ilvl="2" w:tentative="1">
      <w:start w:val="1"/>
      <w:numFmt w:val="decimal"/>
      <w:lvlText w:val="%1.%2.%3"/>
      <w:lvlJc w:val="left"/>
      <w:pPr>
        <w:tabs>
          <w:tab w:val="left" w:pos="720"/>
        </w:tabs>
        <w:ind w:left="720" w:hanging="720"/>
      </w:pPr>
      <w:rPr>
        <w:rFonts w:hint="default"/>
        <w:b w:val="0"/>
        <w:bCs w:val="0"/>
        <w:i w:val="0"/>
        <w:iCs w:val="0"/>
        <w:color w:val="auto"/>
        <w:sz w:val="24"/>
        <w:szCs w:val="24"/>
      </w:rPr>
    </w:lvl>
    <w:lvl w:ilvl="3" w:tentative="1">
      <w:start w:val="1"/>
      <w:numFmt w:val="decimal"/>
      <w:lvlText w:val="%1.%2.%3.%4"/>
      <w:lvlJc w:val="left"/>
      <w:pPr>
        <w:tabs>
          <w:tab w:val="left" w:pos="864"/>
        </w:tabs>
        <w:ind w:left="864" w:hanging="864"/>
      </w:pPr>
      <w:rPr>
        <w:rFonts w:hint="eastAsia"/>
      </w:rPr>
    </w:lvl>
    <w:lvl w:ilvl="4" w:tentative="1">
      <w:start w:val="1"/>
      <w:numFmt w:val="decimal"/>
      <w:lvlText w:val="%1.%2.%3.%4.%5"/>
      <w:lvlJc w:val="left"/>
      <w:pPr>
        <w:tabs>
          <w:tab w:val="left" w:pos="1008"/>
        </w:tabs>
        <w:ind w:left="1008" w:hanging="1008"/>
      </w:pPr>
      <w:rPr>
        <w:rFonts w:hint="eastAsia"/>
      </w:rPr>
    </w:lvl>
    <w:lvl w:ilvl="5" w:tentative="1">
      <w:start w:val="1"/>
      <w:numFmt w:val="decimal"/>
      <w:lvlText w:val="%1.%2.%3.%4.%5.%6"/>
      <w:lvlJc w:val="left"/>
      <w:pPr>
        <w:tabs>
          <w:tab w:val="left" w:pos="1152"/>
        </w:tabs>
        <w:ind w:left="1152" w:hanging="1152"/>
      </w:pPr>
      <w:rPr>
        <w:rFonts w:hint="eastAsia"/>
      </w:rPr>
    </w:lvl>
    <w:lvl w:ilvl="6" w:tentative="1">
      <w:start w:val="1"/>
      <w:numFmt w:val="decimal"/>
      <w:lvlText w:val="%1.%2.%3.%4.%5.%6.%7"/>
      <w:lvlJc w:val="left"/>
      <w:pPr>
        <w:tabs>
          <w:tab w:val="left" w:pos="1296"/>
        </w:tabs>
        <w:ind w:left="1296" w:hanging="1296"/>
      </w:pPr>
      <w:rPr>
        <w:rFonts w:hint="eastAsia"/>
      </w:rPr>
    </w:lvl>
    <w:lvl w:ilvl="7" w:tentative="1">
      <w:start w:val="1"/>
      <w:numFmt w:val="decimal"/>
      <w:lvlText w:val="%1.%2.%3.%4.%5.%6.%7.%8"/>
      <w:lvlJc w:val="left"/>
      <w:pPr>
        <w:tabs>
          <w:tab w:val="left" w:pos="1440"/>
        </w:tabs>
        <w:ind w:left="1440" w:hanging="1440"/>
      </w:pPr>
      <w:rPr>
        <w:rFonts w:hint="eastAsia"/>
      </w:rPr>
    </w:lvl>
    <w:lvl w:ilvl="8" w:tentative="1">
      <w:start w:val="1"/>
      <w:numFmt w:val="decimal"/>
      <w:lvlText w:val="%1.%2.%3.%4.%5.%6.%7.%8.%9"/>
      <w:lvlJc w:val="left"/>
      <w:pPr>
        <w:tabs>
          <w:tab w:val="left" w:pos="1584"/>
        </w:tabs>
        <w:ind w:left="1584" w:hanging="1584"/>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oNotHyphenateCaps/>
  <w:drawingGridHorizontalSpacing w:val="360"/>
  <w:drawingGridVerticalSpacing w:val="360"/>
  <w:displayHorizontalDrawingGridEvery w:val="0"/>
  <w:displayVerticalDrawingGridEvery w:val="0"/>
  <w:characterSpacingControl w:val="doNotCompress"/>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974"/>
    <w:rsid w:val="00004043"/>
    <w:rsid w:val="0002060A"/>
    <w:rsid w:val="000852BE"/>
    <w:rsid w:val="000F2917"/>
    <w:rsid w:val="001327A5"/>
    <w:rsid w:val="001E27EA"/>
    <w:rsid w:val="001E5DFA"/>
    <w:rsid w:val="00204B5A"/>
    <w:rsid w:val="002315FB"/>
    <w:rsid w:val="00273265"/>
    <w:rsid w:val="002B02C1"/>
    <w:rsid w:val="002D65E0"/>
    <w:rsid w:val="002F342E"/>
    <w:rsid w:val="00375AE2"/>
    <w:rsid w:val="004170F6"/>
    <w:rsid w:val="00422B90"/>
    <w:rsid w:val="00435A79"/>
    <w:rsid w:val="004424B6"/>
    <w:rsid w:val="004D1EF8"/>
    <w:rsid w:val="004E0759"/>
    <w:rsid w:val="00541252"/>
    <w:rsid w:val="0057454B"/>
    <w:rsid w:val="00575D31"/>
    <w:rsid w:val="005B7AD3"/>
    <w:rsid w:val="005D6C8C"/>
    <w:rsid w:val="005F7B5E"/>
    <w:rsid w:val="006053D6"/>
    <w:rsid w:val="00635B50"/>
    <w:rsid w:val="00636B36"/>
    <w:rsid w:val="00666B94"/>
    <w:rsid w:val="00670B74"/>
    <w:rsid w:val="00685BAF"/>
    <w:rsid w:val="0069142C"/>
    <w:rsid w:val="006E25FC"/>
    <w:rsid w:val="00707930"/>
    <w:rsid w:val="00766090"/>
    <w:rsid w:val="00786350"/>
    <w:rsid w:val="007A2259"/>
    <w:rsid w:val="007A58CF"/>
    <w:rsid w:val="00837FD1"/>
    <w:rsid w:val="00860ECE"/>
    <w:rsid w:val="00881CF3"/>
    <w:rsid w:val="008E5D68"/>
    <w:rsid w:val="008F5456"/>
    <w:rsid w:val="00907116"/>
    <w:rsid w:val="00956523"/>
    <w:rsid w:val="00966226"/>
    <w:rsid w:val="00996F84"/>
    <w:rsid w:val="009F4E65"/>
    <w:rsid w:val="009F6774"/>
    <w:rsid w:val="00A85CCF"/>
    <w:rsid w:val="00AE1400"/>
    <w:rsid w:val="00B85AD1"/>
    <w:rsid w:val="00BC47D4"/>
    <w:rsid w:val="00BD00AA"/>
    <w:rsid w:val="00C03AE1"/>
    <w:rsid w:val="00C05974"/>
    <w:rsid w:val="00C11446"/>
    <w:rsid w:val="00C23C12"/>
    <w:rsid w:val="00C368E1"/>
    <w:rsid w:val="00C64BF6"/>
    <w:rsid w:val="00C64EF5"/>
    <w:rsid w:val="00C65C8B"/>
    <w:rsid w:val="00C909B4"/>
    <w:rsid w:val="00CB068E"/>
    <w:rsid w:val="00CB13C5"/>
    <w:rsid w:val="00D1089D"/>
    <w:rsid w:val="00D13068"/>
    <w:rsid w:val="00D56B9F"/>
    <w:rsid w:val="00D823B2"/>
    <w:rsid w:val="00D86CC4"/>
    <w:rsid w:val="00D92FDF"/>
    <w:rsid w:val="00D97502"/>
    <w:rsid w:val="00DB38E3"/>
    <w:rsid w:val="00DC275A"/>
    <w:rsid w:val="00DE10E6"/>
    <w:rsid w:val="00E04B19"/>
    <w:rsid w:val="00E175F9"/>
    <w:rsid w:val="00E273DF"/>
    <w:rsid w:val="00E56B3D"/>
    <w:rsid w:val="00E645C0"/>
    <w:rsid w:val="00E65BED"/>
    <w:rsid w:val="00E71CB9"/>
    <w:rsid w:val="00EC2ED8"/>
    <w:rsid w:val="00F03A87"/>
    <w:rsid w:val="00F40CD1"/>
    <w:rsid w:val="00F54208"/>
    <w:rsid w:val="00F80256"/>
    <w:rsid w:val="127A0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qFormat="1"/>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Body Text 2" w:semiHidden="0" w:unhideWhenUsed="0" w:qFormat="1"/>
    <w:lsdException w:name="Strong" w:locked="1" w:semiHidden="0" w:uiPriority="0" w:unhideWhenUsed="0" w:qFormat="1"/>
    <w:lsdException w:name="Emphasis" w:locked="1" w:semiHidden="0" w:uiPriority="0" w:unhideWhenUsed="0" w:qFormat="1"/>
    <w:lsdException w:name="Normal (Web)" w:uiPriority="0"/>
    <w:lsdException w:name="Normal Table" w:qFormat="1"/>
    <w:lsdException w:name="Table List 3" w:semiHidden="0" w:unhideWhenUsed="0"/>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1"/>
    </w:rPr>
  </w:style>
  <w:style w:type="paragraph" w:styleId="1">
    <w:name w:val="heading 1"/>
    <w:basedOn w:val="a"/>
    <w:next w:val="a"/>
    <w:link w:val="1Char"/>
    <w:uiPriority w:val="99"/>
    <w:qFormat/>
    <w:pPr>
      <w:keepNext/>
      <w:keepLines/>
      <w:widowControl/>
      <w:numPr>
        <w:numId w:val="1"/>
      </w:numPr>
      <w:spacing w:before="480" w:line="360" w:lineRule="auto"/>
      <w:jc w:val="left"/>
      <w:outlineLvl w:val="0"/>
    </w:pPr>
    <w:rPr>
      <w:rFonts w:eastAsia="MS Mincho"/>
      <w:b/>
      <w:bCs/>
      <w:color w:val="345A8A"/>
      <w:kern w:val="0"/>
      <w:sz w:val="28"/>
      <w:szCs w:val="28"/>
      <w:lang w:eastAsia="en-US"/>
    </w:rPr>
  </w:style>
  <w:style w:type="paragraph" w:styleId="2">
    <w:name w:val="heading 2"/>
    <w:basedOn w:val="1"/>
    <w:next w:val="a"/>
    <w:link w:val="2Char"/>
    <w:uiPriority w:val="99"/>
    <w:qFormat/>
    <w:pPr>
      <w:widowControl w:val="0"/>
      <w:numPr>
        <w:ilvl w:val="1"/>
        <w:numId w:val="2"/>
      </w:numPr>
      <w:autoSpaceDE w:val="0"/>
      <w:autoSpaceDN w:val="0"/>
      <w:adjustRightInd w:val="0"/>
      <w:spacing w:before="260" w:after="260" w:line="416" w:lineRule="auto"/>
      <w:jc w:val="both"/>
      <w:outlineLvl w:val="1"/>
    </w:pPr>
    <w:rPr>
      <w:color w:val="auto"/>
      <w:sz w:val="24"/>
      <w:szCs w:val="24"/>
    </w:rPr>
  </w:style>
  <w:style w:type="paragraph" w:styleId="3">
    <w:name w:val="heading 3"/>
    <w:basedOn w:val="2"/>
    <w:next w:val="a"/>
    <w:link w:val="3Char"/>
    <w:uiPriority w:val="99"/>
    <w:qFormat/>
    <w:pPr>
      <w:numPr>
        <w:ilvl w:val="2"/>
        <w:numId w:val="1"/>
      </w:numPr>
      <w:outlineLvl w:val="2"/>
    </w:pPr>
  </w:style>
  <w:style w:type="paragraph" w:styleId="4">
    <w:name w:val="heading 4"/>
    <w:basedOn w:val="3"/>
    <w:next w:val="a"/>
    <w:link w:val="4Char"/>
    <w:uiPriority w:val="99"/>
    <w:qFormat/>
    <w:pPr>
      <w:numPr>
        <w:ilvl w:val="3"/>
      </w:num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rFonts w:ascii="Calibri" w:hAnsi="Calibri" w:cs="Calibri"/>
      <w:sz w:val="18"/>
      <w:szCs w:val="18"/>
    </w:rPr>
  </w:style>
  <w:style w:type="paragraph" w:styleId="a4">
    <w:name w:val="header"/>
    <w:basedOn w:val="a"/>
    <w:link w:val="Char0"/>
    <w:uiPriority w:val="99"/>
    <w:pPr>
      <w:pBdr>
        <w:bottom w:val="single" w:sz="6" w:space="1" w:color="auto"/>
      </w:pBdr>
      <w:tabs>
        <w:tab w:val="center" w:pos="4153"/>
        <w:tab w:val="right" w:pos="8306"/>
      </w:tabs>
      <w:snapToGrid w:val="0"/>
      <w:jc w:val="center"/>
    </w:pPr>
    <w:rPr>
      <w:sz w:val="18"/>
      <w:szCs w:val="18"/>
    </w:rPr>
  </w:style>
  <w:style w:type="paragraph" w:styleId="20">
    <w:name w:val="Body Text 2"/>
    <w:basedOn w:val="a"/>
    <w:link w:val="2Char0"/>
    <w:uiPriority w:val="99"/>
    <w:qFormat/>
    <w:pPr>
      <w:widowControl/>
      <w:spacing w:after="120" w:line="360" w:lineRule="auto"/>
      <w:jc w:val="left"/>
    </w:pPr>
    <w:rPr>
      <w:rFonts w:eastAsia="MS Mincho"/>
      <w:kern w:val="0"/>
      <w:sz w:val="24"/>
      <w:szCs w:val="24"/>
      <w:lang w:eastAsia="en-US"/>
    </w:rPr>
  </w:style>
  <w:style w:type="table" w:styleId="30">
    <w:name w:val="Table List 3"/>
    <w:basedOn w:val="a1"/>
    <w:uiPriority w:val="99"/>
    <w:pPr>
      <w:widowControl w:val="0"/>
      <w:jc w:val="both"/>
    </w:pPr>
    <w:rPr>
      <w:rFonts w:cs="Cambria"/>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character" w:customStyle="1" w:styleId="1Char">
    <w:name w:val="标题 1 Char"/>
    <w:basedOn w:val="a0"/>
    <w:link w:val="1"/>
    <w:uiPriority w:val="99"/>
    <w:qFormat/>
    <w:locked/>
    <w:rPr>
      <w:rFonts w:ascii="Times New Roman" w:hAnsi="Times New Roman" w:cs="Times New Roman"/>
      <w:b/>
      <w:bCs/>
      <w:color w:val="345A8A"/>
      <w:sz w:val="32"/>
      <w:szCs w:val="32"/>
      <w:lang w:val="en-US" w:eastAsia="en-US"/>
    </w:rPr>
  </w:style>
  <w:style w:type="character" w:customStyle="1" w:styleId="2Char">
    <w:name w:val="标题 2 Char"/>
    <w:basedOn w:val="a0"/>
    <w:link w:val="2"/>
    <w:uiPriority w:val="99"/>
    <w:locked/>
    <w:rPr>
      <w:rFonts w:ascii="Times New Roman" w:hAnsi="Times New Roman" w:cs="Times New Roman"/>
      <w:b/>
      <w:bCs/>
      <w:sz w:val="26"/>
      <w:szCs w:val="26"/>
      <w:lang w:val="en-US"/>
    </w:rPr>
  </w:style>
  <w:style w:type="character" w:customStyle="1" w:styleId="3Char">
    <w:name w:val="标题 3 Char"/>
    <w:basedOn w:val="a0"/>
    <w:link w:val="3"/>
    <w:uiPriority w:val="99"/>
    <w:qFormat/>
    <w:locked/>
    <w:rPr>
      <w:rFonts w:ascii="Times New Roman" w:hAnsi="Times New Roman" w:cs="Times New Roman"/>
      <w:sz w:val="26"/>
      <w:szCs w:val="26"/>
      <w:lang w:val="en-US"/>
    </w:rPr>
  </w:style>
  <w:style w:type="character" w:customStyle="1" w:styleId="4Char">
    <w:name w:val="标题 4 Char"/>
    <w:basedOn w:val="a0"/>
    <w:link w:val="4"/>
    <w:uiPriority w:val="99"/>
    <w:semiHidden/>
    <w:locked/>
    <w:rPr>
      <w:rFonts w:ascii="Times New Roman" w:hAnsi="Times New Roman" w:cs="Times New Roman"/>
      <w:sz w:val="26"/>
      <w:szCs w:val="26"/>
    </w:rPr>
  </w:style>
  <w:style w:type="character" w:customStyle="1" w:styleId="2Char0">
    <w:name w:val="正文文本 2 Char"/>
    <w:basedOn w:val="a0"/>
    <w:link w:val="20"/>
    <w:uiPriority w:val="99"/>
    <w:locked/>
    <w:rPr>
      <w:rFonts w:ascii="Times New Roman" w:hAnsi="Times New Roman" w:cs="Times New Roman"/>
    </w:rPr>
  </w:style>
  <w:style w:type="character" w:customStyle="1" w:styleId="BodyText2Char1">
    <w:name w:val="Body Text 2 Char1"/>
    <w:basedOn w:val="a0"/>
    <w:uiPriority w:val="99"/>
    <w:qFormat/>
    <w:rPr>
      <w:rFonts w:ascii="Times New Roman" w:hAnsi="Times New Roman" w:cs="Times New Roman"/>
      <w:sz w:val="24"/>
      <w:szCs w:val="24"/>
      <w:lang w:val="en-US"/>
    </w:rPr>
  </w:style>
  <w:style w:type="paragraph" w:customStyle="1" w:styleId="Report">
    <w:name w:val="Report"/>
    <w:basedOn w:val="a"/>
    <w:uiPriority w:val="99"/>
    <w:pPr>
      <w:widowControl/>
      <w:numPr>
        <w:ilvl w:val="1"/>
        <w:numId w:val="3"/>
      </w:numPr>
      <w:jc w:val="left"/>
    </w:pPr>
    <w:rPr>
      <w:rFonts w:eastAsia="MS Mincho"/>
      <w:b/>
      <w:bCs/>
      <w:kern w:val="0"/>
      <w:sz w:val="24"/>
      <w:szCs w:val="24"/>
      <w:lang w:eastAsia="en-US"/>
    </w:rPr>
  </w:style>
  <w:style w:type="character" w:customStyle="1" w:styleId="Char">
    <w:name w:val="页脚 Char"/>
    <w:basedOn w:val="a0"/>
    <w:link w:val="a3"/>
    <w:uiPriority w:val="99"/>
    <w:locked/>
    <w:rPr>
      <w:rFonts w:ascii="Calibri" w:eastAsia="宋体" w:hAnsi="Calibri" w:cs="Calibri"/>
      <w:kern w:val="2"/>
      <w:sz w:val="18"/>
      <w:szCs w:val="18"/>
      <w:lang w:eastAsia="zh-CN"/>
    </w:rPr>
  </w:style>
  <w:style w:type="character" w:customStyle="1" w:styleId="Char0">
    <w:name w:val="页眉 Char"/>
    <w:basedOn w:val="a0"/>
    <w:link w:val="a4"/>
    <w:uiPriority w:val="99"/>
    <w:locked/>
    <w:rPr>
      <w:rFonts w:ascii="Times New Roman" w:eastAsia="宋体" w:hAnsi="Times New Roman" w:cs="Times New Roman"/>
      <w:kern w:val="2"/>
      <w:sz w:val="18"/>
      <w:szCs w:val="18"/>
      <w:lang w:eastAsia="zh-CN"/>
    </w:rPr>
  </w:style>
  <w:style w:type="paragraph" w:styleId="a5">
    <w:name w:val="Title"/>
    <w:basedOn w:val="a"/>
    <w:next w:val="a"/>
    <w:link w:val="Char1"/>
    <w:qFormat/>
    <w:locked/>
    <w:rsid w:val="00422B90"/>
    <w:pPr>
      <w:spacing w:before="240" w:after="60"/>
      <w:jc w:val="center"/>
      <w:outlineLvl w:val="0"/>
    </w:pPr>
    <w:rPr>
      <w:rFonts w:asciiTheme="majorHAnsi" w:hAnsiTheme="majorHAnsi" w:cstheme="majorBidi"/>
      <w:b/>
      <w:bCs/>
      <w:sz w:val="32"/>
      <w:szCs w:val="32"/>
    </w:rPr>
  </w:style>
  <w:style w:type="character" w:customStyle="1" w:styleId="Char1">
    <w:name w:val="标题 Char"/>
    <w:basedOn w:val="a0"/>
    <w:link w:val="a5"/>
    <w:rsid w:val="00422B90"/>
    <w:rPr>
      <w:rFonts w:asciiTheme="majorHAnsi" w:eastAsia="宋体" w:hAnsiTheme="majorHAnsi" w:cstheme="majorBidi"/>
      <w:b/>
      <w:bCs/>
      <w:kern w:val="2"/>
      <w:sz w:val="32"/>
      <w:szCs w:val="32"/>
    </w:rPr>
  </w:style>
  <w:style w:type="paragraph" w:styleId="a6">
    <w:name w:val="Normal (Web)"/>
    <w:basedOn w:val="a"/>
    <w:rsid w:val="00C64BF6"/>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qFormat="1"/>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Body Text 2" w:semiHidden="0" w:unhideWhenUsed="0" w:qFormat="1"/>
    <w:lsdException w:name="Strong" w:locked="1" w:semiHidden="0" w:uiPriority="0" w:unhideWhenUsed="0" w:qFormat="1"/>
    <w:lsdException w:name="Emphasis" w:locked="1" w:semiHidden="0" w:uiPriority="0" w:unhideWhenUsed="0" w:qFormat="1"/>
    <w:lsdException w:name="Normal (Web)" w:uiPriority="0"/>
    <w:lsdException w:name="Normal Table" w:qFormat="1"/>
    <w:lsdException w:name="Table List 3" w:semiHidden="0" w:unhideWhenUsed="0"/>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1"/>
    </w:rPr>
  </w:style>
  <w:style w:type="paragraph" w:styleId="1">
    <w:name w:val="heading 1"/>
    <w:basedOn w:val="a"/>
    <w:next w:val="a"/>
    <w:link w:val="1Char"/>
    <w:uiPriority w:val="99"/>
    <w:qFormat/>
    <w:pPr>
      <w:keepNext/>
      <w:keepLines/>
      <w:widowControl/>
      <w:numPr>
        <w:numId w:val="1"/>
      </w:numPr>
      <w:spacing w:before="480" w:line="360" w:lineRule="auto"/>
      <w:jc w:val="left"/>
      <w:outlineLvl w:val="0"/>
    </w:pPr>
    <w:rPr>
      <w:rFonts w:eastAsia="MS Mincho"/>
      <w:b/>
      <w:bCs/>
      <w:color w:val="345A8A"/>
      <w:kern w:val="0"/>
      <w:sz w:val="28"/>
      <w:szCs w:val="28"/>
      <w:lang w:eastAsia="en-US"/>
    </w:rPr>
  </w:style>
  <w:style w:type="paragraph" w:styleId="2">
    <w:name w:val="heading 2"/>
    <w:basedOn w:val="1"/>
    <w:next w:val="a"/>
    <w:link w:val="2Char"/>
    <w:uiPriority w:val="99"/>
    <w:qFormat/>
    <w:pPr>
      <w:widowControl w:val="0"/>
      <w:numPr>
        <w:ilvl w:val="1"/>
        <w:numId w:val="2"/>
      </w:numPr>
      <w:autoSpaceDE w:val="0"/>
      <w:autoSpaceDN w:val="0"/>
      <w:adjustRightInd w:val="0"/>
      <w:spacing w:before="260" w:after="260" w:line="416" w:lineRule="auto"/>
      <w:jc w:val="both"/>
      <w:outlineLvl w:val="1"/>
    </w:pPr>
    <w:rPr>
      <w:color w:val="auto"/>
      <w:sz w:val="24"/>
      <w:szCs w:val="24"/>
    </w:rPr>
  </w:style>
  <w:style w:type="paragraph" w:styleId="3">
    <w:name w:val="heading 3"/>
    <w:basedOn w:val="2"/>
    <w:next w:val="a"/>
    <w:link w:val="3Char"/>
    <w:uiPriority w:val="99"/>
    <w:qFormat/>
    <w:pPr>
      <w:numPr>
        <w:ilvl w:val="2"/>
        <w:numId w:val="1"/>
      </w:numPr>
      <w:outlineLvl w:val="2"/>
    </w:pPr>
  </w:style>
  <w:style w:type="paragraph" w:styleId="4">
    <w:name w:val="heading 4"/>
    <w:basedOn w:val="3"/>
    <w:next w:val="a"/>
    <w:link w:val="4Char"/>
    <w:uiPriority w:val="99"/>
    <w:qFormat/>
    <w:pPr>
      <w:numPr>
        <w:ilvl w:val="3"/>
      </w:num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rFonts w:ascii="Calibri" w:hAnsi="Calibri" w:cs="Calibri"/>
      <w:sz w:val="18"/>
      <w:szCs w:val="18"/>
    </w:rPr>
  </w:style>
  <w:style w:type="paragraph" w:styleId="a4">
    <w:name w:val="header"/>
    <w:basedOn w:val="a"/>
    <w:link w:val="Char0"/>
    <w:uiPriority w:val="99"/>
    <w:pPr>
      <w:pBdr>
        <w:bottom w:val="single" w:sz="6" w:space="1" w:color="auto"/>
      </w:pBdr>
      <w:tabs>
        <w:tab w:val="center" w:pos="4153"/>
        <w:tab w:val="right" w:pos="8306"/>
      </w:tabs>
      <w:snapToGrid w:val="0"/>
      <w:jc w:val="center"/>
    </w:pPr>
    <w:rPr>
      <w:sz w:val="18"/>
      <w:szCs w:val="18"/>
    </w:rPr>
  </w:style>
  <w:style w:type="paragraph" w:styleId="20">
    <w:name w:val="Body Text 2"/>
    <w:basedOn w:val="a"/>
    <w:link w:val="2Char0"/>
    <w:uiPriority w:val="99"/>
    <w:qFormat/>
    <w:pPr>
      <w:widowControl/>
      <w:spacing w:after="120" w:line="360" w:lineRule="auto"/>
      <w:jc w:val="left"/>
    </w:pPr>
    <w:rPr>
      <w:rFonts w:eastAsia="MS Mincho"/>
      <w:kern w:val="0"/>
      <w:sz w:val="24"/>
      <w:szCs w:val="24"/>
      <w:lang w:eastAsia="en-US"/>
    </w:rPr>
  </w:style>
  <w:style w:type="table" w:styleId="30">
    <w:name w:val="Table List 3"/>
    <w:basedOn w:val="a1"/>
    <w:uiPriority w:val="99"/>
    <w:pPr>
      <w:widowControl w:val="0"/>
      <w:jc w:val="both"/>
    </w:pPr>
    <w:rPr>
      <w:rFonts w:cs="Cambria"/>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character" w:customStyle="1" w:styleId="1Char">
    <w:name w:val="标题 1 Char"/>
    <w:basedOn w:val="a0"/>
    <w:link w:val="1"/>
    <w:uiPriority w:val="99"/>
    <w:qFormat/>
    <w:locked/>
    <w:rPr>
      <w:rFonts w:ascii="Times New Roman" w:hAnsi="Times New Roman" w:cs="Times New Roman"/>
      <w:b/>
      <w:bCs/>
      <w:color w:val="345A8A"/>
      <w:sz w:val="32"/>
      <w:szCs w:val="32"/>
      <w:lang w:val="en-US" w:eastAsia="en-US"/>
    </w:rPr>
  </w:style>
  <w:style w:type="character" w:customStyle="1" w:styleId="2Char">
    <w:name w:val="标题 2 Char"/>
    <w:basedOn w:val="a0"/>
    <w:link w:val="2"/>
    <w:uiPriority w:val="99"/>
    <w:locked/>
    <w:rPr>
      <w:rFonts w:ascii="Times New Roman" w:hAnsi="Times New Roman" w:cs="Times New Roman"/>
      <w:b/>
      <w:bCs/>
      <w:sz w:val="26"/>
      <w:szCs w:val="26"/>
      <w:lang w:val="en-US"/>
    </w:rPr>
  </w:style>
  <w:style w:type="character" w:customStyle="1" w:styleId="3Char">
    <w:name w:val="标题 3 Char"/>
    <w:basedOn w:val="a0"/>
    <w:link w:val="3"/>
    <w:uiPriority w:val="99"/>
    <w:qFormat/>
    <w:locked/>
    <w:rPr>
      <w:rFonts w:ascii="Times New Roman" w:hAnsi="Times New Roman" w:cs="Times New Roman"/>
      <w:sz w:val="26"/>
      <w:szCs w:val="26"/>
      <w:lang w:val="en-US"/>
    </w:rPr>
  </w:style>
  <w:style w:type="character" w:customStyle="1" w:styleId="4Char">
    <w:name w:val="标题 4 Char"/>
    <w:basedOn w:val="a0"/>
    <w:link w:val="4"/>
    <w:uiPriority w:val="99"/>
    <w:semiHidden/>
    <w:locked/>
    <w:rPr>
      <w:rFonts w:ascii="Times New Roman" w:hAnsi="Times New Roman" w:cs="Times New Roman"/>
      <w:sz w:val="26"/>
      <w:szCs w:val="26"/>
    </w:rPr>
  </w:style>
  <w:style w:type="character" w:customStyle="1" w:styleId="2Char0">
    <w:name w:val="正文文本 2 Char"/>
    <w:basedOn w:val="a0"/>
    <w:link w:val="20"/>
    <w:uiPriority w:val="99"/>
    <w:locked/>
    <w:rPr>
      <w:rFonts w:ascii="Times New Roman" w:hAnsi="Times New Roman" w:cs="Times New Roman"/>
    </w:rPr>
  </w:style>
  <w:style w:type="character" w:customStyle="1" w:styleId="BodyText2Char1">
    <w:name w:val="Body Text 2 Char1"/>
    <w:basedOn w:val="a0"/>
    <w:uiPriority w:val="99"/>
    <w:qFormat/>
    <w:rPr>
      <w:rFonts w:ascii="Times New Roman" w:hAnsi="Times New Roman" w:cs="Times New Roman"/>
      <w:sz w:val="24"/>
      <w:szCs w:val="24"/>
      <w:lang w:val="en-US"/>
    </w:rPr>
  </w:style>
  <w:style w:type="paragraph" w:customStyle="1" w:styleId="Report">
    <w:name w:val="Report"/>
    <w:basedOn w:val="a"/>
    <w:uiPriority w:val="99"/>
    <w:pPr>
      <w:widowControl/>
      <w:numPr>
        <w:ilvl w:val="1"/>
        <w:numId w:val="3"/>
      </w:numPr>
      <w:jc w:val="left"/>
    </w:pPr>
    <w:rPr>
      <w:rFonts w:eastAsia="MS Mincho"/>
      <w:b/>
      <w:bCs/>
      <w:kern w:val="0"/>
      <w:sz w:val="24"/>
      <w:szCs w:val="24"/>
      <w:lang w:eastAsia="en-US"/>
    </w:rPr>
  </w:style>
  <w:style w:type="character" w:customStyle="1" w:styleId="Char">
    <w:name w:val="页脚 Char"/>
    <w:basedOn w:val="a0"/>
    <w:link w:val="a3"/>
    <w:uiPriority w:val="99"/>
    <w:locked/>
    <w:rPr>
      <w:rFonts w:ascii="Calibri" w:eastAsia="宋体" w:hAnsi="Calibri" w:cs="Calibri"/>
      <w:kern w:val="2"/>
      <w:sz w:val="18"/>
      <w:szCs w:val="18"/>
      <w:lang w:eastAsia="zh-CN"/>
    </w:rPr>
  </w:style>
  <w:style w:type="character" w:customStyle="1" w:styleId="Char0">
    <w:name w:val="页眉 Char"/>
    <w:basedOn w:val="a0"/>
    <w:link w:val="a4"/>
    <w:uiPriority w:val="99"/>
    <w:locked/>
    <w:rPr>
      <w:rFonts w:ascii="Times New Roman" w:eastAsia="宋体" w:hAnsi="Times New Roman" w:cs="Times New Roman"/>
      <w:kern w:val="2"/>
      <w:sz w:val="18"/>
      <w:szCs w:val="18"/>
      <w:lang w:eastAsia="zh-CN"/>
    </w:rPr>
  </w:style>
  <w:style w:type="paragraph" w:styleId="a5">
    <w:name w:val="Title"/>
    <w:basedOn w:val="a"/>
    <w:next w:val="a"/>
    <w:link w:val="Char1"/>
    <w:qFormat/>
    <w:locked/>
    <w:rsid w:val="00422B90"/>
    <w:pPr>
      <w:spacing w:before="240" w:after="60"/>
      <w:jc w:val="center"/>
      <w:outlineLvl w:val="0"/>
    </w:pPr>
    <w:rPr>
      <w:rFonts w:asciiTheme="majorHAnsi" w:hAnsiTheme="majorHAnsi" w:cstheme="majorBidi"/>
      <w:b/>
      <w:bCs/>
      <w:sz w:val="32"/>
      <w:szCs w:val="32"/>
    </w:rPr>
  </w:style>
  <w:style w:type="character" w:customStyle="1" w:styleId="Char1">
    <w:name w:val="标题 Char"/>
    <w:basedOn w:val="a0"/>
    <w:link w:val="a5"/>
    <w:rsid w:val="00422B90"/>
    <w:rPr>
      <w:rFonts w:asciiTheme="majorHAnsi" w:eastAsia="宋体" w:hAnsiTheme="majorHAnsi" w:cstheme="majorBidi"/>
      <w:b/>
      <w:bCs/>
      <w:kern w:val="2"/>
      <w:sz w:val="32"/>
      <w:szCs w:val="32"/>
    </w:rPr>
  </w:style>
  <w:style w:type="paragraph" w:styleId="a6">
    <w:name w:val="Normal (Web)"/>
    <w:basedOn w:val="a"/>
    <w:rsid w:val="00C64BF6"/>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507</Words>
  <Characters>2896</Characters>
  <Application>Microsoft Office Word</Application>
  <DocSecurity>0</DocSecurity>
  <Lines>24</Lines>
  <Paragraphs>6</Paragraphs>
  <ScaleCrop>false</ScaleCrop>
  <Company>University of Cambridge</Company>
  <LinksUpToDate>false</LinksUpToDate>
  <CharactersWithSpaces>3397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 Huang</dc:creator>
  <cp:lastModifiedBy>User</cp:lastModifiedBy>
  <cp:revision>49</cp:revision>
  <dcterms:created xsi:type="dcterms:W3CDTF">2014-10-08T06:59:00Z</dcterms:created>
  <dcterms:modified xsi:type="dcterms:W3CDTF">2016-03-31T08:59:00Z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